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B82FD">
      <w:pPr>
        <w:spacing w:line="360" w:lineRule="auto"/>
        <w:jc w:val="center"/>
        <w:rPr>
          <w:rFonts w:ascii="方正小标宋简体" w:hAnsi="Times New Roman" w:eastAsia="方正小标宋简体" w:cs="Times New Roman"/>
          <w:color w:val="000000" w:themeColor="text1"/>
          <w:sz w:val="32"/>
          <w:szCs w:val="32"/>
          <w14:textFill>
            <w14:solidFill>
              <w14:schemeClr w14:val="tx1"/>
            </w14:solidFill>
          </w14:textFill>
        </w:rPr>
      </w:pPr>
      <w:r>
        <w:rPr>
          <w:rFonts w:hint="eastAsia" w:ascii="方正小标宋简体" w:hAnsi="Times New Roman" w:eastAsia="方正小标宋简体" w:cs="Times New Roman"/>
          <w:color w:val="000000" w:themeColor="text1"/>
          <w:sz w:val="32"/>
          <w:szCs w:val="32"/>
          <w14:textFill>
            <w14:solidFill>
              <w14:schemeClr w14:val="tx1"/>
            </w14:solidFill>
          </w14:textFill>
        </w:rPr>
        <w:t>天津工业大学艺术学院2026年硕士研究生招生</w:t>
      </w:r>
    </w:p>
    <w:p w14:paraId="7CFCF594">
      <w:pPr>
        <w:spacing w:line="360" w:lineRule="auto"/>
        <w:jc w:val="center"/>
        <w:rPr>
          <w:rFonts w:ascii="方正小标宋简体" w:hAnsi="Times New Roman" w:eastAsia="方正小标宋简体" w:cs="Times New Roman"/>
          <w:color w:val="000000" w:themeColor="text1"/>
          <w:sz w:val="32"/>
          <w:szCs w:val="32"/>
          <w14:textFill>
            <w14:solidFill>
              <w14:schemeClr w14:val="tx1"/>
            </w14:solidFill>
          </w14:textFill>
        </w:rPr>
      </w:pPr>
      <w:r>
        <w:rPr>
          <w:rFonts w:hint="eastAsia" w:ascii="方正小标宋简体" w:hAnsi="Times New Roman" w:eastAsia="方正小标宋简体" w:cs="Times New Roman"/>
          <w:color w:val="000000" w:themeColor="text1"/>
          <w:sz w:val="32"/>
          <w:szCs w:val="32"/>
          <w14:textFill>
            <w14:solidFill>
              <w14:schemeClr w14:val="tx1"/>
            </w14:solidFill>
          </w14:textFill>
        </w:rPr>
        <w:t>复试录取工作实施办法</w:t>
      </w:r>
    </w:p>
    <w:p w14:paraId="0F662E86">
      <w:pPr>
        <w:spacing w:line="560" w:lineRule="exact"/>
        <w:jc w:val="center"/>
        <w:rPr>
          <w:rFonts w:ascii="仿宋_GB2312" w:hAnsi="宋体" w:eastAsia="仿宋_GB2312" w:cs="Helvetica"/>
          <w:bCs/>
          <w:color w:val="000000" w:themeColor="text1"/>
          <w:kern w:val="0"/>
          <w:sz w:val="28"/>
          <w:szCs w:val="28"/>
          <w14:textFill>
            <w14:solidFill>
              <w14:schemeClr w14:val="tx1"/>
            </w14:solidFill>
          </w14:textFill>
        </w:rPr>
      </w:pPr>
    </w:p>
    <w:p w14:paraId="5E13729D">
      <w:pPr>
        <w:spacing w:line="360" w:lineRule="auto"/>
        <w:ind w:firstLine="560" w:firstLineChars="200"/>
        <w:rPr>
          <w:rFonts w:ascii="仿宋_GB2312"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根据《天津工业大学2026年硕士研究生招生复试录取工作办法》等文件的有关规定，结合艺术学院研究生招生工作的实际情况，制定本办法。</w:t>
      </w:r>
    </w:p>
    <w:p w14:paraId="2B20EA1F">
      <w:pPr>
        <w:spacing w:before="312" w:beforeLines="100" w:after="156" w:afterLines="50" w:line="560" w:lineRule="exact"/>
        <w:ind w:firstLine="562" w:firstLineChars="200"/>
        <w:rPr>
          <w:rFonts w:ascii="黑体" w:hAnsi="黑体" w:eastAsia="黑体" w:cs="Helvetica"/>
          <w:b/>
          <w:sz w:val="28"/>
          <w:szCs w:val="28"/>
        </w:rPr>
      </w:pPr>
      <w:r>
        <w:rPr>
          <w:rFonts w:hint="eastAsia" w:ascii="黑体" w:hAnsi="黑体" w:eastAsia="黑体" w:cs="Times New Roman"/>
          <w:b/>
          <w:bCs/>
          <w:sz w:val="28"/>
          <w:szCs w:val="28"/>
        </w:rPr>
        <w:t>一、组织领导</w:t>
      </w:r>
    </w:p>
    <w:p w14:paraId="28C26F1F">
      <w:pPr>
        <w:spacing w:line="560" w:lineRule="exact"/>
        <w:ind w:firstLine="560" w:firstLineChars="200"/>
        <w:rPr>
          <w:rFonts w:ascii="仿宋_GB2312" w:eastAsia="仿宋_GB2312"/>
          <w:b/>
          <w:bCs/>
          <w:sz w:val="28"/>
          <w:szCs w:val="28"/>
        </w:rPr>
      </w:pPr>
      <w:r>
        <w:rPr>
          <w:rFonts w:hint="eastAsia" w:ascii="仿宋_GB2312" w:eastAsia="仿宋_GB2312"/>
          <w:sz w:val="28"/>
          <w:szCs w:val="28"/>
        </w:rPr>
        <w:t>我院成立由学院主要负责人、主管研究生工作副院长、分管学生工作党委副书记、科研与研究生管理办公室、各学科方向带头人、纪检委员及相关人员组成的研究生招生工作领导小组，组长由学院主要负责人担任。研究生招生工作领导小组在我校研究生招生委员会的指导下，负责领导和组织本学院的复试录取工作，包括制定及公布复试录取工作实施细则、遴选和培训工作人员、开展招生政策宣传、组织实施复试、处置突发事件、依法依规公开招生信息等。</w:t>
      </w:r>
    </w:p>
    <w:p w14:paraId="462DB328">
      <w:pPr>
        <w:spacing w:before="312" w:beforeLines="100" w:after="156" w:afterLines="50" w:line="560" w:lineRule="exact"/>
        <w:ind w:firstLine="562" w:firstLineChars="200"/>
        <w:rPr>
          <w:rFonts w:ascii="黑体" w:hAnsi="黑体" w:eastAsia="黑体" w:cs="Times New Roman"/>
          <w:b/>
          <w:bCs/>
          <w:sz w:val="28"/>
          <w:szCs w:val="28"/>
        </w:rPr>
      </w:pPr>
      <w:r>
        <w:rPr>
          <w:rFonts w:hint="eastAsia" w:ascii="仿宋_GB2312" w:eastAsia="仿宋_GB2312"/>
          <w:b/>
          <w:bCs/>
          <w:sz w:val="28"/>
          <w:szCs w:val="28"/>
        </w:rPr>
        <w:t xml:space="preserve"> </w:t>
      </w:r>
      <w:r>
        <w:rPr>
          <w:rFonts w:hint="eastAsia" w:ascii="黑体" w:hAnsi="黑体" w:eastAsia="黑体" w:cs="Times New Roman"/>
          <w:b/>
          <w:bCs/>
          <w:sz w:val="28"/>
          <w:szCs w:val="28"/>
        </w:rPr>
        <w:t>二、复试基本分数线划定</w:t>
      </w:r>
    </w:p>
    <w:p w14:paraId="623ED687">
      <w:pPr>
        <w:spacing w:line="560" w:lineRule="exact"/>
        <w:ind w:firstLine="560" w:firstLineChars="200"/>
        <w:rPr>
          <w:rFonts w:ascii="仿宋_GB2312" w:eastAsia="仿宋_GB2312"/>
          <w:sz w:val="28"/>
          <w:szCs w:val="28"/>
        </w:rPr>
      </w:pPr>
      <w:r>
        <w:rPr>
          <w:rFonts w:hint="eastAsia" w:ascii="仿宋_GB2312" w:eastAsia="仿宋_GB2312"/>
          <w:sz w:val="28"/>
          <w:szCs w:val="28"/>
        </w:rPr>
        <w:t>我院硕士研究生招生复试基本分数线依据“2026年全国硕士研究生招生考试考生进入复试的初试成绩基本要求”（以下简称“国家分数线”）划定，经我校研究生招生委员会审议确定。</w:t>
      </w:r>
    </w:p>
    <w:p w14:paraId="1FB8E072">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1.第一志愿报考我院的考生，初试考试成绩（总分和单科成绩）达到国家分数线中规定进入复试的A类考生初试成绩基本要求外,还需达到各专业方向分数线才具备复试资格：</w:t>
      </w:r>
    </w:p>
    <w:p w14:paraId="1287425E">
      <w:pPr>
        <w:spacing w:line="360" w:lineRule="auto"/>
        <w:ind w:firstLine="560" w:firstLineChars="200"/>
        <w:rPr>
          <w:rFonts w:ascii="仿宋_GB2312" w:hAnsi="Times New Roman" w:eastAsia="仿宋_GB2312" w:cs="Times New Roman"/>
          <w:sz w:val="28"/>
          <w:szCs w:val="28"/>
        </w:rPr>
      </w:pPr>
    </w:p>
    <w:tbl>
      <w:tblPr>
        <w:tblStyle w:val="8"/>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393"/>
        <w:gridCol w:w="1800"/>
        <w:gridCol w:w="1759"/>
        <w:gridCol w:w="1107"/>
      </w:tblGrid>
      <w:tr w14:paraId="4E31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73" w:type="dxa"/>
            <w:vAlign w:val="center"/>
          </w:tcPr>
          <w:p w14:paraId="6A09D887">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b/>
                <w:color w:val="000000" w:themeColor="text1"/>
                <w:kern w:val="0"/>
                <w:szCs w:val="21"/>
                <w14:textFill>
                  <w14:solidFill>
                    <w14:schemeClr w14:val="tx1"/>
                  </w14:solidFill>
                </w14:textFill>
              </w:rPr>
              <w:t>专业</w:t>
            </w:r>
          </w:p>
        </w:tc>
        <w:tc>
          <w:tcPr>
            <w:tcW w:w="2393" w:type="dxa"/>
            <w:vAlign w:val="center"/>
          </w:tcPr>
          <w:p w14:paraId="16C49EB8">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b/>
                <w:color w:val="000000" w:themeColor="text1"/>
                <w:kern w:val="0"/>
                <w:szCs w:val="21"/>
                <w14:textFill>
                  <w14:solidFill>
                    <w14:schemeClr w14:val="tx1"/>
                  </w14:solidFill>
                </w14:textFill>
              </w:rPr>
              <w:t>专业方向</w:t>
            </w:r>
          </w:p>
        </w:tc>
        <w:tc>
          <w:tcPr>
            <w:tcW w:w="1800" w:type="dxa"/>
            <w:vAlign w:val="center"/>
          </w:tcPr>
          <w:p w14:paraId="1009ACFF">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单科</w:t>
            </w:r>
          </w:p>
          <w:p w14:paraId="5E3E764C">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（满分</w:t>
            </w:r>
            <w:r>
              <w:rPr>
                <w:rFonts w:ascii="仿宋" w:hAnsi="仿宋" w:eastAsia="仿宋" w:cs="Tahoma"/>
                <w:color w:val="000000" w:themeColor="text1"/>
                <w:kern w:val="0"/>
                <w:szCs w:val="21"/>
                <w14:textFill>
                  <w14:solidFill>
                    <w14:schemeClr w14:val="tx1"/>
                  </w14:solidFill>
                </w14:textFill>
              </w:rPr>
              <w:t>=100</w:t>
            </w:r>
            <w:r>
              <w:rPr>
                <w:rFonts w:hint="eastAsia" w:ascii="仿宋" w:hAnsi="仿宋" w:eastAsia="仿宋" w:cs="Tahoma"/>
                <w:color w:val="000000" w:themeColor="text1"/>
                <w:kern w:val="0"/>
                <w:szCs w:val="21"/>
                <w14:textFill>
                  <w14:solidFill>
                    <w14:schemeClr w14:val="tx1"/>
                  </w14:solidFill>
                </w14:textFill>
              </w:rPr>
              <w:t>分）</w:t>
            </w:r>
          </w:p>
        </w:tc>
        <w:tc>
          <w:tcPr>
            <w:tcW w:w="1759" w:type="dxa"/>
            <w:vAlign w:val="center"/>
          </w:tcPr>
          <w:p w14:paraId="1D4D1C46">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单科</w:t>
            </w:r>
          </w:p>
          <w:p w14:paraId="32427B07">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（满分</w:t>
            </w:r>
            <w:r>
              <w:rPr>
                <w:rFonts w:ascii="仿宋" w:hAnsi="仿宋" w:eastAsia="仿宋" w:cs="Tahoma"/>
                <w:color w:val="000000" w:themeColor="text1"/>
                <w:kern w:val="0"/>
                <w:szCs w:val="21"/>
                <w14:textFill>
                  <w14:solidFill>
                    <w14:schemeClr w14:val="tx1"/>
                  </w14:solidFill>
                </w14:textFill>
              </w:rPr>
              <w:t>&gt;100</w:t>
            </w:r>
            <w:r>
              <w:rPr>
                <w:rFonts w:hint="eastAsia" w:ascii="仿宋" w:hAnsi="仿宋" w:eastAsia="仿宋" w:cs="Tahoma"/>
                <w:color w:val="000000" w:themeColor="text1"/>
                <w:kern w:val="0"/>
                <w:szCs w:val="21"/>
                <w14:textFill>
                  <w14:solidFill>
                    <w14:schemeClr w14:val="tx1"/>
                  </w14:solidFill>
                </w14:textFill>
              </w:rPr>
              <w:t>分）</w:t>
            </w:r>
          </w:p>
        </w:tc>
        <w:tc>
          <w:tcPr>
            <w:tcW w:w="1107" w:type="dxa"/>
            <w:vAlign w:val="center"/>
          </w:tcPr>
          <w:p w14:paraId="3B768DF7">
            <w:pPr>
              <w:widowControl/>
              <w:jc w:val="center"/>
              <w:rPr>
                <w:rFonts w:ascii="仿宋" w:hAnsi="仿宋" w:eastAsia="仿宋" w:cs="Tahoma"/>
                <w:color w:val="000000" w:themeColor="text1"/>
                <w:kern w:val="0"/>
                <w:szCs w:val="21"/>
                <w:highlight w:val="yellow"/>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总分</w:t>
            </w:r>
          </w:p>
        </w:tc>
      </w:tr>
      <w:tr w14:paraId="42D4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73" w:type="dxa"/>
            <w:vAlign w:val="center"/>
          </w:tcPr>
          <w:p w14:paraId="4B1C3DA5">
            <w:pPr>
              <w:widowControl/>
              <w:jc w:val="center"/>
              <w:rPr>
                <w:rFonts w:ascii="仿宋" w:hAnsi="仿宋" w:eastAsia="仿宋" w:cs="Tahoma"/>
                <w:b/>
                <w:color w:val="000000" w:themeColor="text1"/>
                <w:kern w:val="0"/>
                <w:szCs w:val="21"/>
                <w14:textFill>
                  <w14:solidFill>
                    <w14:schemeClr w14:val="tx1"/>
                  </w14:solidFill>
                </w14:textFill>
              </w:rPr>
            </w:pPr>
            <w:r>
              <w:rPr>
                <w:rFonts w:hint="eastAsia" w:ascii="仿宋" w:hAnsi="仿宋" w:eastAsia="仿宋" w:cs="Tahoma"/>
                <w:b/>
                <w:color w:val="000000" w:themeColor="text1"/>
                <w:kern w:val="0"/>
                <w:szCs w:val="21"/>
                <w14:textFill>
                  <w14:solidFill>
                    <w14:schemeClr w14:val="tx1"/>
                  </w14:solidFill>
                </w14:textFill>
              </w:rPr>
              <w:t>设计学</w:t>
            </w:r>
          </w:p>
          <w:p w14:paraId="1575B271">
            <w:pPr>
              <w:widowControl/>
              <w:jc w:val="center"/>
              <w:rPr>
                <w:rFonts w:ascii="仿宋" w:hAnsi="仿宋" w:eastAsia="仿宋" w:cs="Tahoma"/>
                <w:b/>
                <w:color w:val="000000" w:themeColor="text1"/>
                <w:kern w:val="0"/>
                <w:szCs w:val="21"/>
                <w14:textFill>
                  <w14:solidFill>
                    <w14:schemeClr w14:val="tx1"/>
                  </w14:solidFill>
                </w14:textFill>
              </w:rPr>
            </w:pPr>
            <w:r>
              <w:rPr>
                <w:rFonts w:hint="eastAsia" w:ascii="仿宋" w:hAnsi="仿宋" w:eastAsia="仿宋" w:cs="Tahoma"/>
                <w:b/>
                <w:color w:val="000000" w:themeColor="text1"/>
                <w:kern w:val="0"/>
                <w:szCs w:val="21"/>
                <w14:textFill>
                  <w14:solidFill>
                    <w14:schemeClr w14:val="tx1"/>
                  </w14:solidFill>
                </w14:textFill>
              </w:rPr>
              <w:t>（140300）</w:t>
            </w:r>
          </w:p>
        </w:tc>
        <w:tc>
          <w:tcPr>
            <w:tcW w:w="2393" w:type="dxa"/>
            <w:vAlign w:val="center"/>
          </w:tcPr>
          <w:p w14:paraId="5F4B682C">
            <w:pPr>
              <w:widowControl/>
              <w:jc w:val="center"/>
              <w:rPr>
                <w:rFonts w:ascii="仿宋" w:hAnsi="仿宋" w:eastAsia="仿宋" w:cs="Tahoma"/>
                <w:b/>
                <w:color w:val="000000" w:themeColor="text1"/>
                <w:kern w:val="0"/>
                <w:szCs w:val="21"/>
                <w14:textFill>
                  <w14:solidFill>
                    <w14:schemeClr w14:val="tx1"/>
                  </w14:solidFill>
                </w14:textFill>
              </w:rPr>
            </w:pPr>
            <w:r>
              <w:rPr>
                <w:rFonts w:hint="eastAsia" w:ascii="仿宋" w:hAnsi="仿宋" w:eastAsia="仿宋" w:cs="Tahoma"/>
                <w:b/>
                <w:color w:val="000000" w:themeColor="text1"/>
                <w:kern w:val="0"/>
                <w:szCs w:val="21"/>
                <w14:textFill>
                  <w14:solidFill>
                    <w14:schemeClr w14:val="tx1"/>
                  </w14:solidFill>
                </w14:textFill>
              </w:rPr>
              <w:t>所有方向</w:t>
            </w:r>
          </w:p>
        </w:tc>
        <w:tc>
          <w:tcPr>
            <w:tcW w:w="1800" w:type="dxa"/>
            <w:vAlign w:val="center"/>
          </w:tcPr>
          <w:p w14:paraId="6AE858FE">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35</w:t>
            </w:r>
          </w:p>
        </w:tc>
        <w:tc>
          <w:tcPr>
            <w:tcW w:w="1759" w:type="dxa"/>
            <w:vAlign w:val="center"/>
          </w:tcPr>
          <w:p w14:paraId="6EAAEF86">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53</w:t>
            </w:r>
          </w:p>
        </w:tc>
        <w:tc>
          <w:tcPr>
            <w:tcW w:w="1107" w:type="dxa"/>
            <w:vAlign w:val="center"/>
          </w:tcPr>
          <w:p w14:paraId="2EB3CD35">
            <w:pPr>
              <w:widowControl/>
              <w:jc w:val="center"/>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304</w:t>
            </w:r>
          </w:p>
        </w:tc>
      </w:tr>
      <w:tr w14:paraId="6F89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3" w:type="dxa"/>
            <w:vMerge w:val="restart"/>
            <w:vAlign w:val="center"/>
          </w:tcPr>
          <w:p w14:paraId="64FD161D">
            <w:pPr>
              <w:widowControl/>
              <w:jc w:val="center"/>
              <w:rPr>
                <w:rFonts w:ascii="仿宋" w:hAnsi="仿宋" w:eastAsia="仿宋" w:cs="Tahoma"/>
                <w:b/>
                <w:color w:val="000000" w:themeColor="text1"/>
                <w:kern w:val="0"/>
                <w:szCs w:val="21"/>
                <w14:textFill>
                  <w14:solidFill>
                    <w14:schemeClr w14:val="tx1"/>
                  </w14:solidFill>
                </w14:textFill>
              </w:rPr>
            </w:pPr>
            <w:r>
              <w:rPr>
                <w:rFonts w:hint="eastAsia" w:ascii="仿宋" w:hAnsi="仿宋" w:eastAsia="仿宋" w:cs="Tahoma"/>
                <w:b/>
                <w:color w:val="000000" w:themeColor="text1"/>
                <w:kern w:val="0"/>
                <w:szCs w:val="21"/>
                <w14:textFill>
                  <w14:solidFill>
                    <w14:schemeClr w14:val="tx1"/>
                  </w14:solidFill>
                </w14:textFill>
              </w:rPr>
              <w:t>设计（</w:t>
            </w:r>
            <w:r>
              <w:rPr>
                <w:rFonts w:ascii="仿宋" w:hAnsi="仿宋" w:eastAsia="仿宋" w:cs="Tahoma"/>
                <w:b/>
                <w:color w:val="000000" w:themeColor="text1"/>
                <w:kern w:val="0"/>
                <w:szCs w:val="21"/>
                <w14:textFill>
                  <w14:solidFill>
                    <w14:schemeClr w14:val="tx1"/>
                  </w14:solidFill>
                </w14:textFill>
              </w:rPr>
              <w:t>135</w:t>
            </w:r>
            <w:r>
              <w:rPr>
                <w:rFonts w:hint="eastAsia" w:ascii="仿宋" w:hAnsi="仿宋" w:eastAsia="仿宋" w:cs="Tahoma"/>
                <w:b/>
                <w:color w:val="000000" w:themeColor="text1"/>
                <w:kern w:val="0"/>
                <w:szCs w:val="21"/>
                <w14:textFill>
                  <w14:solidFill>
                    <w14:schemeClr w14:val="tx1"/>
                  </w14:solidFill>
                </w14:textFill>
              </w:rPr>
              <w:t>700）</w:t>
            </w:r>
          </w:p>
        </w:tc>
        <w:tc>
          <w:tcPr>
            <w:tcW w:w="2393" w:type="dxa"/>
            <w:vAlign w:val="center"/>
          </w:tcPr>
          <w:p w14:paraId="5C4634B8">
            <w:pPr>
              <w:widowControl/>
              <w:jc w:val="left"/>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color w:val="000000" w:themeColor="text1"/>
                <w:kern w:val="0"/>
                <w:szCs w:val="21"/>
                <w14:textFill>
                  <w14:solidFill>
                    <w14:schemeClr w14:val="tx1"/>
                  </w14:solidFill>
                </w14:textFill>
              </w:rPr>
              <w:t>01数智时尚与服装设计</w:t>
            </w:r>
          </w:p>
        </w:tc>
        <w:tc>
          <w:tcPr>
            <w:tcW w:w="1800" w:type="dxa"/>
            <w:vAlign w:val="center"/>
          </w:tcPr>
          <w:p w14:paraId="0C615D0D">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38</w:t>
            </w:r>
          </w:p>
        </w:tc>
        <w:tc>
          <w:tcPr>
            <w:tcW w:w="1759" w:type="dxa"/>
            <w:vAlign w:val="center"/>
          </w:tcPr>
          <w:p w14:paraId="0E3B65E9">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57</w:t>
            </w:r>
          </w:p>
        </w:tc>
        <w:tc>
          <w:tcPr>
            <w:tcW w:w="1107" w:type="dxa"/>
            <w:vAlign w:val="center"/>
          </w:tcPr>
          <w:p w14:paraId="17C1593D">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355</w:t>
            </w:r>
          </w:p>
        </w:tc>
      </w:tr>
      <w:tr w14:paraId="1346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73" w:type="dxa"/>
            <w:vMerge w:val="continue"/>
            <w:vAlign w:val="center"/>
          </w:tcPr>
          <w:p w14:paraId="7E486673">
            <w:pPr>
              <w:widowControl/>
              <w:jc w:val="center"/>
              <w:rPr>
                <w:rFonts w:ascii="仿宋" w:hAnsi="仿宋" w:eastAsia="仿宋" w:cs="Tahoma"/>
                <w:b/>
                <w:kern w:val="0"/>
                <w:szCs w:val="21"/>
              </w:rPr>
            </w:pPr>
          </w:p>
        </w:tc>
        <w:tc>
          <w:tcPr>
            <w:tcW w:w="2393" w:type="dxa"/>
            <w:vAlign w:val="center"/>
          </w:tcPr>
          <w:p w14:paraId="3A8F4A94">
            <w:pPr>
              <w:widowControl/>
              <w:jc w:val="left"/>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kern w:val="0"/>
                <w:szCs w:val="21"/>
              </w:rPr>
              <w:t>02</w:t>
            </w:r>
            <w:r>
              <w:rPr>
                <w:rFonts w:hint="eastAsia" w:ascii="仿宋" w:hAnsi="仿宋" w:eastAsia="仿宋" w:cs="Tahoma"/>
                <w:color w:val="000000" w:themeColor="text1"/>
                <w:kern w:val="0"/>
                <w:szCs w:val="21"/>
                <w14:textFill>
                  <w14:solidFill>
                    <w14:schemeClr w14:val="tx1"/>
                  </w14:solidFill>
                </w14:textFill>
              </w:rPr>
              <w:t>视觉传达</w:t>
            </w:r>
            <w:r>
              <w:rPr>
                <w:rFonts w:hint="eastAsia" w:ascii="仿宋" w:hAnsi="仿宋" w:eastAsia="仿宋" w:cs="Tahoma"/>
                <w:kern w:val="0"/>
                <w:szCs w:val="21"/>
              </w:rPr>
              <w:t>与媒体</w:t>
            </w:r>
            <w:r>
              <w:rPr>
                <w:rFonts w:hint="eastAsia" w:ascii="仿宋" w:hAnsi="仿宋" w:eastAsia="仿宋" w:cs="Tahoma"/>
                <w:color w:val="000000" w:themeColor="text1"/>
                <w:kern w:val="0"/>
                <w:szCs w:val="21"/>
                <w14:textFill>
                  <w14:solidFill>
                    <w14:schemeClr w14:val="tx1"/>
                  </w14:solidFill>
                </w14:textFill>
              </w:rPr>
              <w:t>设计</w:t>
            </w:r>
          </w:p>
        </w:tc>
        <w:tc>
          <w:tcPr>
            <w:tcW w:w="1800" w:type="dxa"/>
            <w:vAlign w:val="center"/>
          </w:tcPr>
          <w:p w14:paraId="262CF2E6">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38</w:t>
            </w:r>
          </w:p>
        </w:tc>
        <w:tc>
          <w:tcPr>
            <w:tcW w:w="1759" w:type="dxa"/>
            <w:vAlign w:val="center"/>
          </w:tcPr>
          <w:p w14:paraId="256F20F2">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57</w:t>
            </w:r>
          </w:p>
        </w:tc>
        <w:tc>
          <w:tcPr>
            <w:tcW w:w="1107" w:type="dxa"/>
            <w:vAlign w:val="center"/>
          </w:tcPr>
          <w:p w14:paraId="334FB104">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382</w:t>
            </w:r>
          </w:p>
        </w:tc>
      </w:tr>
      <w:tr w14:paraId="1C20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3" w:type="dxa"/>
            <w:vMerge w:val="continue"/>
            <w:vAlign w:val="center"/>
          </w:tcPr>
          <w:p w14:paraId="1BC4B500">
            <w:pPr>
              <w:widowControl/>
              <w:jc w:val="center"/>
              <w:rPr>
                <w:rFonts w:ascii="仿宋" w:hAnsi="仿宋" w:eastAsia="仿宋" w:cs="Tahoma"/>
                <w:b/>
                <w:kern w:val="0"/>
                <w:szCs w:val="21"/>
              </w:rPr>
            </w:pPr>
          </w:p>
        </w:tc>
        <w:tc>
          <w:tcPr>
            <w:tcW w:w="2393" w:type="dxa"/>
            <w:vAlign w:val="center"/>
          </w:tcPr>
          <w:p w14:paraId="646075E6">
            <w:pPr>
              <w:widowControl/>
              <w:jc w:val="left"/>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kern w:val="0"/>
                <w:szCs w:val="21"/>
              </w:rPr>
              <w:t>03</w:t>
            </w:r>
            <w:r>
              <w:rPr>
                <w:rFonts w:hint="eastAsia" w:ascii="仿宋" w:hAnsi="仿宋" w:eastAsia="仿宋" w:cs="Tahoma"/>
                <w:color w:val="000000" w:themeColor="text1"/>
                <w:kern w:val="0"/>
                <w:szCs w:val="21"/>
                <w14:textFill>
                  <w14:solidFill>
                    <w14:schemeClr w14:val="tx1"/>
                  </w14:solidFill>
                </w14:textFill>
              </w:rPr>
              <w:t>环境艺术设计</w:t>
            </w:r>
          </w:p>
        </w:tc>
        <w:tc>
          <w:tcPr>
            <w:tcW w:w="1800" w:type="dxa"/>
            <w:vAlign w:val="center"/>
          </w:tcPr>
          <w:p w14:paraId="6397DB88">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38</w:t>
            </w:r>
          </w:p>
        </w:tc>
        <w:tc>
          <w:tcPr>
            <w:tcW w:w="1759" w:type="dxa"/>
            <w:vAlign w:val="center"/>
          </w:tcPr>
          <w:p w14:paraId="53CDEE96">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57</w:t>
            </w:r>
          </w:p>
        </w:tc>
        <w:tc>
          <w:tcPr>
            <w:tcW w:w="1107" w:type="dxa"/>
            <w:vAlign w:val="center"/>
          </w:tcPr>
          <w:p w14:paraId="1E46C5D7">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376</w:t>
            </w:r>
          </w:p>
        </w:tc>
      </w:tr>
      <w:tr w14:paraId="5E02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73" w:type="dxa"/>
            <w:vMerge w:val="continue"/>
            <w:vAlign w:val="center"/>
          </w:tcPr>
          <w:p w14:paraId="24B4592D">
            <w:pPr>
              <w:keepNext/>
              <w:keepLines/>
              <w:widowControl/>
              <w:jc w:val="left"/>
              <w:rPr>
                <w:rFonts w:ascii="仿宋" w:hAnsi="仿宋" w:eastAsia="仿宋" w:cs="Tahoma"/>
                <w:kern w:val="0"/>
                <w:szCs w:val="21"/>
              </w:rPr>
            </w:pPr>
          </w:p>
        </w:tc>
        <w:tc>
          <w:tcPr>
            <w:tcW w:w="2393" w:type="dxa"/>
            <w:vAlign w:val="center"/>
          </w:tcPr>
          <w:p w14:paraId="35CDCB18">
            <w:pPr>
              <w:widowControl/>
              <w:jc w:val="left"/>
              <w:rPr>
                <w:rFonts w:ascii="仿宋" w:hAnsi="仿宋" w:eastAsia="仿宋" w:cs="Tahoma"/>
                <w:color w:val="000000" w:themeColor="text1"/>
                <w:kern w:val="0"/>
                <w:szCs w:val="21"/>
                <w14:textFill>
                  <w14:solidFill>
                    <w14:schemeClr w14:val="tx1"/>
                  </w14:solidFill>
                </w14:textFill>
              </w:rPr>
            </w:pPr>
            <w:r>
              <w:rPr>
                <w:rFonts w:hint="eastAsia" w:ascii="仿宋" w:hAnsi="仿宋" w:eastAsia="仿宋" w:cs="Tahoma"/>
                <w:kern w:val="0"/>
                <w:szCs w:val="21"/>
              </w:rPr>
              <w:t>04动画与智能影像</w:t>
            </w:r>
          </w:p>
        </w:tc>
        <w:tc>
          <w:tcPr>
            <w:tcW w:w="1800" w:type="dxa"/>
            <w:vAlign w:val="center"/>
          </w:tcPr>
          <w:p w14:paraId="32F536F4">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38</w:t>
            </w:r>
          </w:p>
        </w:tc>
        <w:tc>
          <w:tcPr>
            <w:tcW w:w="1759" w:type="dxa"/>
            <w:vAlign w:val="center"/>
          </w:tcPr>
          <w:p w14:paraId="044A0350">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57</w:t>
            </w:r>
          </w:p>
        </w:tc>
        <w:tc>
          <w:tcPr>
            <w:tcW w:w="1107" w:type="dxa"/>
            <w:vAlign w:val="center"/>
          </w:tcPr>
          <w:p w14:paraId="266DD148">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355</w:t>
            </w:r>
          </w:p>
        </w:tc>
      </w:tr>
      <w:tr w14:paraId="4CC1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73" w:type="dxa"/>
            <w:vMerge w:val="continue"/>
            <w:vAlign w:val="center"/>
          </w:tcPr>
          <w:p w14:paraId="200EE004">
            <w:pPr>
              <w:keepNext/>
              <w:keepLines/>
              <w:widowControl/>
              <w:jc w:val="left"/>
              <w:rPr>
                <w:rFonts w:ascii="仿宋" w:hAnsi="仿宋" w:eastAsia="仿宋" w:cs="Tahoma"/>
                <w:kern w:val="0"/>
                <w:szCs w:val="21"/>
              </w:rPr>
            </w:pPr>
          </w:p>
        </w:tc>
        <w:tc>
          <w:tcPr>
            <w:tcW w:w="2393" w:type="dxa"/>
            <w:vAlign w:val="center"/>
          </w:tcPr>
          <w:p w14:paraId="75B4ABA7">
            <w:pPr>
              <w:widowControl/>
              <w:jc w:val="left"/>
              <w:rPr>
                <w:rFonts w:ascii="仿宋" w:hAnsi="仿宋" w:eastAsia="仿宋" w:cs="Tahoma"/>
                <w:kern w:val="0"/>
                <w:szCs w:val="21"/>
              </w:rPr>
            </w:pPr>
            <w:r>
              <w:rPr>
                <w:rFonts w:hint="eastAsia" w:ascii="仿宋" w:hAnsi="仿宋" w:eastAsia="仿宋" w:cs="Tahoma"/>
                <w:kern w:val="0"/>
                <w:szCs w:val="21"/>
              </w:rPr>
              <w:t>05非遗保护与创新设计</w:t>
            </w:r>
          </w:p>
        </w:tc>
        <w:tc>
          <w:tcPr>
            <w:tcW w:w="1800" w:type="dxa"/>
            <w:vAlign w:val="center"/>
          </w:tcPr>
          <w:p w14:paraId="2F2A1A55">
            <w:pPr>
              <w:jc w:val="center"/>
              <w:rPr>
                <w:rFonts w:ascii="仿宋" w:hAnsi="仿宋" w:eastAsia="仿宋"/>
                <w:szCs w:val="21"/>
              </w:rPr>
            </w:pPr>
            <w:r>
              <w:rPr>
                <w:rFonts w:hint="eastAsia" w:ascii="仿宋" w:hAnsi="仿宋" w:eastAsia="仿宋"/>
                <w:szCs w:val="21"/>
              </w:rPr>
              <w:t>38</w:t>
            </w:r>
          </w:p>
        </w:tc>
        <w:tc>
          <w:tcPr>
            <w:tcW w:w="1759" w:type="dxa"/>
            <w:vAlign w:val="center"/>
          </w:tcPr>
          <w:p w14:paraId="7D4101AC">
            <w:pPr>
              <w:jc w:val="center"/>
              <w:rPr>
                <w:rFonts w:ascii="仿宋" w:hAnsi="仿宋" w:eastAsia="仿宋"/>
                <w:szCs w:val="21"/>
              </w:rPr>
            </w:pPr>
            <w:r>
              <w:rPr>
                <w:rFonts w:hint="eastAsia" w:ascii="仿宋" w:hAnsi="仿宋" w:eastAsia="仿宋"/>
                <w:szCs w:val="21"/>
              </w:rPr>
              <w:t>57</w:t>
            </w:r>
          </w:p>
        </w:tc>
        <w:tc>
          <w:tcPr>
            <w:tcW w:w="1107" w:type="dxa"/>
            <w:vAlign w:val="center"/>
          </w:tcPr>
          <w:p w14:paraId="41EA18AC">
            <w:pPr>
              <w:jc w:val="center"/>
              <w:rPr>
                <w:rFonts w:ascii="仿宋" w:hAnsi="仿宋" w:eastAsia="仿宋"/>
                <w:szCs w:val="21"/>
              </w:rPr>
            </w:pPr>
            <w:r>
              <w:rPr>
                <w:rFonts w:hint="eastAsia" w:ascii="仿宋" w:hAnsi="仿宋" w:eastAsia="仿宋"/>
                <w:szCs w:val="21"/>
              </w:rPr>
              <w:t>373</w:t>
            </w:r>
          </w:p>
        </w:tc>
      </w:tr>
    </w:tbl>
    <w:p w14:paraId="30E4B423">
      <w:pPr>
        <w:spacing w:line="360" w:lineRule="auto"/>
        <w:ind w:firstLine="560" w:firstLineChars="200"/>
        <w:rPr>
          <w:rFonts w:ascii="仿宋_GB2312" w:hAnsi="Times New Roman" w:eastAsia="仿宋_GB2312" w:cs="Times New Roman"/>
          <w:sz w:val="28"/>
          <w:szCs w:val="28"/>
        </w:rPr>
      </w:pPr>
    </w:p>
    <w:p w14:paraId="50DF603B">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2．专项计划、政策照顾等考生，按学校复试录取办法规定执行。</w:t>
      </w:r>
    </w:p>
    <w:p w14:paraId="247B9625">
      <w:pPr>
        <w:spacing w:line="560" w:lineRule="exact"/>
        <w:ind w:firstLine="562" w:firstLineChars="200"/>
        <w:rPr>
          <w:rFonts w:ascii="仿宋_GB2312" w:eastAsia="仿宋_GB2312"/>
          <w:color w:val="000000" w:themeColor="text1"/>
          <w:sz w:val="28"/>
          <w:szCs w:val="28"/>
          <w14:textFill>
            <w14:solidFill>
              <w14:schemeClr w14:val="tx1"/>
            </w14:solidFill>
          </w14:textFill>
        </w:rPr>
      </w:pPr>
      <w:r>
        <w:rPr>
          <w:rFonts w:hint="eastAsia" w:ascii="黑体" w:hAnsi="黑体" w:eastAsia="黑体" w:cs="Times New Roman"/>
          <w:b/>
          <w:bCs/>
          <w:sz w:val="28"/>
          <w:szCs w:val="28"/>
        </w:rPr>
        <w:t>三、 招生计划及复试人数比例</w:t>
      </w:r>
    </w:p>
    <w:tbl>
      <w:tblPr>
        <w:tblStyle w:val="8"/>
        <w:tblW w:w="8420"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134"/>
        <w:gridCol w:w="2803"/>
        <w:gridCol w:w="1155"/>
      </w:tblGrid>
      <w:tr w14:paraId="47FE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28" w:type="dxa"/>
            <w:shd w:val="clear" w:color="auto" w:fill="auto"/>
            <w:noWrap/>
            <w:vAlign w:val="center"/>
          </w:tcPr>
          <w:p w14:paraId="343BD3B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专业名称(方向)</w:t>
            </w:r>
          </w:p>
        </w:tc>
        <w:tc>
          <w:tcPr>
            <w:tcW w:w="1134" w:type="dxa"/>
            <w:shd w:val="clear" w:color="auto" w:fill="auto"/>
            <w:noWrap/>
            <w:vAlign w:val="center"/>
          </w:tcPr>
          <w:p w14:paraId="76352DBA">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专业代码</w:t>
            </w:r>
          </w:p>
        </w:tc>
        <w:tc>
          <w:tcPr>
            <w:tcW w:w="2803" w:type="dxa"/>
            <w:shd w:val="clear" w:color="auto" w:fill="auto"/>
            <w:noWrap/>
            <w:vAlign w:val="center"/>
          </w:tcPr>
          <w:p w14:paraId="71281F25">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招生计划</w:t>
            </w:r>
          </w:p>
        </w:tc>
        <w:tc>
          <w:tcPr>
            <w:tcW w:w="1155" w:type="dxa"/>
            <w:shd w:val="clear" w:color="auto" w:fill="auto"/>
            <w:noWrap/>
            <w:vAlign w:val="center"/>
          </w:tcPr>
          <w:p w14:paraId="2B3FC1E8">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学习方式</w:t>
            </w:r>
          </w:p>
        </w:tc>
      </w:tr>
      <w:tr w14:paraId="214B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28" w:type="dxa"/>
            <w:shd w:val="clear" w:color="auto" w:fill="auto"/>
            <w:noWrap/>
            <w:vAlign w:val="center"/>
          </w:tcPr>
          <w:p w14:paraId="11D92BE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设计学</w:t>
            </w:r>
          </w:p>
        </w:tc>
        <w:tc>
          <w:tcPr>
            <w:tcW w:w="1134" w:type="dxa"/>
            <w:shd w:val="clear" w:color="auto" w:fill="auto"/>
            <w:noWrap/>
            <w:vAlign w:val="center"/>
          </w:tcPr>
          <w:p w14:paraId="5375543E">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140300</w:t>
            </w:r>
          </w:p>
        </w:tc>
        <w:tc>
          <w:tcPr>
            <w:tcW w:w="2803" w:type="dxa"/>
            <w:shd w:val="clear" w:color="auto" w:fill="auto"/>
            <w:noWrap/>
            <w:vAlign w:val="center"/>
          </w:tcPr>
          <w:p w14:paraId="572DB1E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11（含推免6人，士兵计划1人）</w:t>
            </w:r>
          </w:p>
        </w:tc>
        <w:tc>
          <w:tcPr>
            <w:tcW w:w="1155" w:type="dxa"/>
            <w:shd w:val="clear" w:color="auto" w:fill="auto"/>
            <w:noWrap/>
            <w:vAlign w:val="center"/>
          </w:tcPr>
          <w:p w14:paraId="0F0DD90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w:t>
            </w:r>
          </w:p>
        </w:tc>
      </w:tr>
      <w:tr w14:paraId="4477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28" w:type="dxa"/>
            <w:shd w:val="clear" w:color="auto" w:fill="auto"/>
            <w:noWrap/>
            <w:vAlign w:val="center"/>
          </w:tcPr>
          <w:p w14:paraId="791CF72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 xml:space="preserve"> 设计（</w:t>
            </w:r>
            <w:r>
              <w:rPr>
                <w:rFonts w:hint="eastAsia" w:ascii="仿宋" w:hAnsi="仿宋" w:eastAsia="仿宋" w:cs="Tahoma"/>
                <w:color w:val="000000" w:themeColor="text1"/>
                <w:kern w:val="0"/>
                <w:szCs w:val="21"/>
                <w14:textFill>
                  <w14:solidFill>
                    <w14:schemeClr w14:val="tx1"/>
                  </w14:solidFill>
                </w14:textFill>
              </w:rPr>
              <w:t>01数智时尚与服装设计</w:t>
            </w:r>
            <w:r>
              <w:rPr>
                <w:rFonts w:hint="eastAsia" w:ascii="仿宋" w:hAnsi="仿宋" w:eastAsia="仿宋" w:cs="宋体"/>
                <w:b/>
                <w:bCs/>
                <w:color w:val="000000"/>
                <w:kern w:val="0"/>
                <w:szCs w:val="21"/>
              </w:rPr>
              <w:t>）</w:t>
            </w:r>
          </w:p>
        </w:tc>
        <w:tc>
          <w:tcPr>
            <w:tcW w:w="1134" w:type="dxa"/>
            <w:shd w:val="clear" w:color="auto" w:fill="auto"/>
            <w:noWrap/>
            <w:vAlign w:val="center"/>
          </w:tcPr>
          <w:p w14:paraId="6743057C">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135700</w:t>
            </w:r>
          </w:p>
        </w:tc>
        <w:tc>
          <w:tcPr>
            <w:tcW w:w="2803" w:type="dxa"/>
            <w:shd w:val="clear" w:color="auto" w:fill="auto"/>
            <w:noWrap/>
            <w:vAlign w:val="center"/>
          </w:tcPr>
          <w:p w14:paraId="11365060">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15（含推免8人）</w:t>
            </w:r>
          </w:p>
        </w:tc>
        <w:tc>
          <w:tcPr>
            <w:tcW w:w="1155" w:type="dxa"/>
            <w:shd w:val="clear" w:color="auto" w:fill="auto"/>
            <w:noWrap/>
            <w:vAlign w:val="center"/>
          </w:tcPr>
          <w:p w14:paraId="6BB61CAF">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w:t>
            </w:r>
          </w:p>
        </w:tc>
      </w:tr>
      <w:tr w14:paraId="55B3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28" w:type="dxa"/>
            <w:shd w:val="clear" w:color="auto" w:fill="auto"/>
            <w:noWrap/>
            <w:vAlign w:val="center"/>
          </w:tcPr>
          <w:p w14:paraId="2FD3BFB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 xml:space="preserve"> 设计（</w:t>
            </w:r>
            <w:r>
              <w:rPr>
                <w:rFonts w:hint="eastAsia" w:ascii="仿宋" w:hAnsi="仿宋" w:eastAsia="仿宋" w:cs="宋体"/>
                <w:b w:val="0"/>
                <w:bCs w:val="0"/>
                <w:color w:val="000000"/>
                <w:kern w:val="0"/>
                <w:szCs w:val="21"/>
              </w:rPr>
              <w:t>0</w:t>
            </w:r>
            <w:r>
              <w:rPr>
                <w:rFonts w:ascii="仿宋" w:hAnsi="仿宋" w:eastAsia="仿宋" w:cs="宋体"/>
                <w:b w:val="0"/>
                <w:bCs w:val="0"/>
                <w:color w:val="000000"/>
                <w:kern w:val="0"/>
                <w:szCs w:val="21"/>
              </w:rPr>
              <w:t>2</w:t>
            </w:r>
            <w:r>
              <w:rPr>
                <w:rFonts w:hint="eastAsia" w:ascii="仿宋" w:hAnsi="仿宋" w:eastAsia="仿宋" w:cs="Tahoma"/>
                <w:b w:val="0"/>
                <w:bCs w:val="0"/>
                <w:color w:val="000000" w:themeColor="text1"/>
                <w:kern w:val="0"/>
                <w:szCs w:val="21"/>
                <w14:textFill>
                  <w14:solidFill>
                    <w14:schemeClr w14:val="tx1"/>
                  </w14:solidFill>
                </w14:textFill>
              </w:rPr>
              <w:t>视觉</w:t>
            </w:r>
            <w:r>
              <w:rPr>
                <w:rFonts w:hint="eastAsia" w:ascii="仿宋" w:hAnsi="仿宋" w:eastAsia="仿宋" w:cs="Tahoma"/>
                <w:color w:val="000000" w:themeColor="text1"/>
                <w:kern w:val="0"/>
                <w:szCs w:val="21"/>
                <w14:textFill>
                  <w14:solidFill>
                    <w14:schemeClr w14:val="tx1"/>
                  </w14:solidFill>
                </w14:textFill>
              </w:rPr>
              <w:t>传达</w:t>
            </w:r>
            <w:r>
              <w:rPr>
                <w:rFonts w:hint="eastAsia" w:ascii="仿宋" w:hAnsi="仿宋" w:eastAsia="仿宋" w:cs="Tahoma"/>
                <w:kern w:val="0"/>
                <w:szCs w:val="21"/>
              </w:rPr>
              <w:t>与媒体</w:t>
            </w:r>
            <w:r>
              <w:rPr>
                <w:rFonts w:hint="eastAsia" w:ascii="仿宋" w:hAnsi="仿宋" w:eastAsia="仿宋" w:cs="Tahoma"/>
                <w:color w:val="000000" w:themeColor="text1"/>
                <w:kern w:val="0"/>
                <w:szCs w:val="21"/>
                <w14:textFill>
                  <w14:solidFill>
                    <w14:schemeClr w14:val="tx1"/>
                  </w14:solidFill>
                </w14:textFill>
              </w:rPr>
              <w:t>设计</w:t>
            </w:r>
            <w:r>
              <w:rPr>
                <w:rFonts w:hint="eastAsia" w:ascii="仿宋" w:hAnsi="仿宋" w:eastAsia="仿宋" w:cs="宋体"/>
                <w:b/>
                <w:bCs/>
                <w:color w:val="000000"/>
                <w:kern w:val="0"/>
                <w:szCs w:val="21"/>
              </w:rPr>
              <w:t>）</w:t>
            </w:r>
          </w:p>
        </w:tc>
        <w:tc>
          <w:tcPr>
            <w:tcW w:w="1134" w:type="dxa"/>
            <w:shd w:val="clear" w:color="auto" w:fill="auto"/>
            <w:noWrap/>
            <w:vAlign w:val="center"/>
          </w:tcPr>
          <w:p w14:paraId="696EC112">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135700</w:t>
            </w:r>
          </w:p>
        </w:tc>
        <w:tc>
          <w:tcPr>
            <w:tcW w:w="2803" w:type="dxa"/>
            <w:shd w:val="clear" w:color="auto" w:fill="auto"/>
            <w:noWrap/>
            <w:vAlign w:val="center"/>
          </w:tcPr>
          <w:p w14:paraId="58F1B777">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24（含推免13人、少干3人）</w:t>
            </w:r>
          </w:p>
        </w:tc>
        <w:tc>
          <w:tcPr>
            <w:tcW w:w="1155" w:type="dxa"/>
            <w:shd w:val="clear" w:color="auto" w:fill="auto"/>
            <w:noWrap/>
            <w:vAlign w:val="center"/>
          </w:tcPr>
          <w:p w14:paraId="4C18279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w:t>
            </w:r>
          </w:p>
        </w:tc>
      </w:tr>
      <w:tr w14:paraId="0051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28" w:type="dxa"/>
            <w:shd w:val="clear" w:color="auto" w:fill="auto"/>
            <w:noWrap/>
            <w:vAlign w:val="center"/>
          </w:tcPr>
          <w:p w14:paraId="7237389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 xml:space="preserve"> 设计（</w:t>
            </w:r>
            <w:r>
              <w:rPr>
                <w:rFonts w:hint="eastAsia" w:ascii="仿宋" w:hAnsi="仿宋" w:eastAsia="仿宋" w:cs="宋体"/>
                <w:b w:val="0"/>
                <w:bCs w:val="0"/>
                <w:color w:val="000000"/>
                <w:kern w:val="0"/>
                <w:szCs w:val="21"/>
              </w:rPr>
              <w:t>03环境艺术设计</w:t>
            </w:r>
            <w:r>
              <w:rPr>
                <w:rFonts w:hint="eastAsia" w:ascii="仿宋" w:hAnsi="仿宋" w:eastAsia="仿宋" w:cs="宋体"/>
                <w:b/>
                <w:bCs/>
                <w:color w:val="000000"/>
                <w:kern w:val="0"/>
                <w:szCs w:val="21"/>
              </w:rPr>
              <w:t>）</w:t>
            </w:r>
          </w:p>
        </w:tc>
        <w:tc>
          <w:tcPr>
            <w:tcW w:w="1134" w:type="dxa"/>
            <w:shd w:val="clear" w:color="auto" w:fill="auto"/>
            <w:noWrap/>
            <w:vAlign w:val="center"/>
          </w:tcPr>
          <w:p w14:paraId="4B83C743">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135700</w:t>
            </w:r>
          </w:p>
        </w:tc>
        <w:tc>
          <w:tcPr>
            <w:tcW w:w="2803" w:type="dxa"/>
            <w:shd w:val="clear" w:color="auto" w:fill="auto"/>
            <w:noWrap/>
            <w:vAlign w:val="center"/>
          </w:tcPr>
          <w:p w14:paraId="1980224B">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18（含推免7人、少干1人）</w:t>
            </w:r>
          </w:p>
        </w:tc>
        <w:tc>
          <w:tcPr>
            <w:tcW w:w="1155" w:type="dxa"/>
            <w:shd w:val="clear" w:color="auto" w:fill="auto"/>
            <w:noWrap/>
            <w:vAlign w:val="center"/>
          </w:tcPr>
          <w:p w14:paraId="63B05FA0">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w:t>
            </w:r>
          </w:p>
        </w:tc>
      </w:tr>
      <w:tr w14:paraId="3B4A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28" w:type="dxa"/>
            <w:shd w:val="clear" w:color="auto" w:fill="auto"/>
            <w:noWrap/>
            <w:vAlign w:val="center"/>
          </w:tcPr>
          <w:p w14:paraId="4E2E349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 xml:space="preserve"> 设计（</w:t>
            </w:r>
            <w:r>
              <w:rPr>
                <w:rFonts w:hint="eastAsia" w:ascii="仿宋" w:hAnsi="仿宋" w:eastAsia="仿宋" w:cs="Tahoma"/>
                <w:kern w:val="0"/>
                <w:szCs w:val="21"/>
              </w:rPr>
              <w:t>04动画与智能影像</w:t>
            </w:r>
            <w:r>
              <w:rPr>
                <w:rFonts w:hint="eastAsia" w:ascii="仿宋" w:hAnsi="仿宋" w:eastAsia="仿宋" w:cs="宋体"/>
                <w:b/>
                <w:bCs/>
                <w:color w:val="000000"/>
                <w:kern w:val="0"/>
                <w:szCs w:val="21"/>
              </w:rPr>
              <w:t>）</w:t>
            </w:r>
          </w:p>
        </w:tc>
        <w:tc>
          <w:tcPr>
            <w:tcW w:w="1134" w:type="dxa"/>
            <w:shd w:val="clear" w:color="auto" w:fill="auto"/>
            <w:noWrap/>
            <w:vAlign w:val="center"/>
          </w:tcPr>
          <w:p w14:paraId="5DA5A1C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135700</w:t>
            </w:r>
          </w:p>
        </w:tc>
        <w:tc>
          <w:tcPr>
            <w:tcW w:w="2803" w:type="dxa"/>
            <w:shd w:val="clear" w:color="auto" w:fill="auto"/>
            <w:noWrap/>
            <w:vAlign w:val="center"/>
          </w:tcPr>
          <w:p w14:paraId="363C8512">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9（含推免4人）</w:t>
            </w:r>
          </w:p>
        </w:tc>
        <w:tc>
          <w:tcPr>
            <w:tcW w:w="1155" w:type="dxa"/>
            <w:shd w:val="clear" w:color="auto" w:fill="auto"/>
            <w:noWrap/>
            <w:vAlign w:val="center"/>
          </w:tcPr>
          <w:p w14:paraId="4AC9D057">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w:t>
            </w:r>
          </w:p>
        </w:tc>
      </w:tr>
      <w:tr w14:paraId="24B2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28" w:type="dxa"/>
            <w:shd w:val="clear" w:color="auto" w:fill="auto"/>
            <w:noWrap/>
            <w:vAlign w:val="center"/>
          </w:tcPr>
          <w:p w14:paraId="3347020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设计（</w:t>
            </w:r>
            <w:r>
              <w:rPr>
                <w:rFonts w:hint="eastAsia" w:ascii="仿宋" w:hAnsi="仿宋" w:eastAsia="仿宋" w:cs="Tahoma"/>
                <w:kern w:val="0"/>
                <w:szCs w:val="21"/>
              </w:rPr>
              <w:t>05非遗保护与创新设计</w:t>
            </w:r>
            <w:r>
              <w:rPr>
                <w:rFonts w:hint="eastAsia" w:ascii="仿宋" w:hAnsi="仿宋" w:eastAsia="仿宋" w:cs="宋体"/>
                <w:b/>
                <w:bCs/>
                <w:color w:val="000000"/>
                <w:kern w:val="0"/>
                <w:szCs w:val="21"/>
              </w:rPr>
              <w:t>）</w:t>
            </w:r>
          </w:p>
        </w:tc>
        <w:tc>
          <w:tcPr>
            <w:tcW w:w="1134" w:type="dxa"/>
            <w:shd w:val="clear" w:color="auto" w:fill="auto"/>
            <w:noWrap/>
            <w:vAlign w:val="center"/>
          </w:tcPr>
          <w:p w14:paraId="4626D337">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135700</w:t>
            </w:r>
          </w:p>
        </w:tc>
        <w:tc>
          <w:tcPr>
            <w:tcW w:w="2803" w:type="dxa"/>
            <w:shd w:val="clear" w:color="auto" w:fill="auto"/>
            <w:noWrap/>
            <w:vAlign w:val="center"/>
          </w:tcPr>
          <w:p w14:paraId="5A81AFAF">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8（含推免3人）</w:t>
            </w:r>
          </w:p>
        </w:tc>
        <w:tc>
          <w:tcPr>
            <w:tcW w:w="1155" w:type="dxa"/>
            <w:shd w:val="clear" w:color="auto" w:fill="auto"/>
            <w:noWrap/>
            <w:vAlign w:val="center"/>
          </w:tcPr>
          <w:p w14:paraId="3C3DAA16">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w:t>
            </w:r>
          </w:p>
        </w:tc>
      </w:tr>
    </w:tbl>
    <w:p w14:paraId="7CA8BCBD">
      <w:pPr>
        <w:spacing w:line="560" w:lineRule="exact"/>
        <w:rPr>
          <w:rFonts w:ascii="仿宋_GB2312" w:eastAsia="仿宋_GB2312"/>
          <w:color w:val="000000" w:themeColor="text1"/>
          <w:sz w:val="28"/>
          <w:szCs w:val="28"/>
          <w14:textFill>
            <w14:solidFill>
              <w14:schemeClr w14:val="tx1"/>
            </w14:solidFill>
          </w14:textFill>
        </w:rPr>
      </w:pPr>
    </w:p>
    <w:p w14:paraId="705DA59A">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复试差额比例一般不低于120%，对合格生源不足120%的学科专业按实际合格考生人数组织复试。“少数民族高层次骨干人才计划”和“退役大学生士兵计划”按照学校公布的相关规定执行。</w:t>
      </w:r>
    </w:p>
    <w:p w14:paraId="53A70A64">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根据各学科专业一志愿合格生源情况，我院可能适当调整相关学科专业的招生计划。</w:t>
      </w:r>
    </w:p>
    <w:p w14:paraId="4A468B80">
      <w:pPr>
        <w:spacing w:before="312" w:beforeLines="100" w:after="156" w:afterLines="50" w:line="560" w:lineRule="exact"/>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四、 复试资格审核</w:t>
      </w:r>
    </w:p>
    <w:p w14:paraId="0F6279EE">
      <w:pPr>
        <w:spacing w:line="560" w:lineRule="exact"/>
        <w:ind w:firstLine="560" w:firstLineChars="200"/>
        <w:rPr>
          <w:rFonts w:ascii="仿宋_GB2312" w:eastAsia="仿宋_GB2312"/>
          <w:sz w:val="28"/>
          <w:szCs w:val="28"/>
        </w:rPr>
      </w:pPr>
      <w:r>
        <w:rPr>
          <w:rFonts w:hint="eastAsia" w:ascii="仿宋_GB2312" w:eastAsia="仿宋_GB2312"/>
          <w:sz w:val="28"/>
          <w:szCs w:val="28"/>
        </w:rPr>
        <w:t>复试前，我院严格进行考生身份审核及报考专项计划、申请享受初试加分或少数民族照顾政策等资格的复审。对不符合规定条件者，不予复试。</w:t>
      </w:r>
    </w:p>
    <w:p w14:paraId="4FEC5D6D">
      <w:pPr>
        <w:spacing w:line="560" w:lineRule="exact"/>
        <w:ind w:firstLine="560" w:firstLineChars="200"/>
        <w:rPr>
          <w:rFonts w:ascii="仿宋_GB2312" w:hAnsi="Helvetica" w:eastAsia="仿宋_GB2312"/>
          <w:sz w:val="28"/>
          <w:szCs w:val="28"/>
        </w:rPr>
      </w:pPr>
      <w:r>
        <w:rPr>
          <w:rFonts w:hint="eastAsia" w:ascii="仿宋_GB2312" w:eastAsia="仿宋_GB2312"/>
          <w:sz w:val="28"/>
          <w:szCs w:val="28"/>
        </w:rPr>
        <w:t>考生应按要求，提交如下材料。</w:t>
      </w:r>
    </w:p>
    <w:p w14:paraId="39C900C1">
      <w:pPr>
        <w:spacing w:line="560" w:lineRule="exact"/>
        <w:ind w:firstLine="560" w:firstLineChars="200"/>
        <w:rPr>
          <w:rFonts w:ascii="仿宋_GB2312" w:eastAsia="仿宋_GB2312"/>
          <w:sz w:val="28"/>
          <w:szCs w:val="28"/>
        </w:rPr>
      </w:pPr>
      <w:r>
        <w:rPr>
          <w:rFonts w:hint="eastAsia" w:ascii="仿宋_GB2312" w:eastAsia="仿宋_GB2312"/>
          <w:sz w:val="28"/>
          <w:szCs w:val="28"/>
        </w:rPr>
        <w:t>1.有效居民身份证</w:t>
      </w:r>
    </w:p>
    <w:p w14:paraId="6F2EC400">
      <w:pPr>
        <w:spacing w:line="560" w:lineRule="exact"/>
        <w:ind w:firstLine="560" w:firstLineChars="200"/>
        <w:rPr>
          <w:rFonts w:ascii="仿宋_GB2312" w:eastAsia="仿宋_GB2312"/>
          <w:sz w:val="28"/>
          <w:szCs w:val="28"/>
        </w:rPr>
      </w:pPr>
      <w:bookmarkStart w:id="0" w:name="_Hlk98702795"/>
      <w:r>
        <w:rPr>
          <w:rFonts w:hint="eastAsia" w:ascii="仿宋_GB2312" w:eastAsia="仿宋_GB2312"/>
          <w:sz w:val="28"/>
          <w:szCs w:val="28"/>
        </w:rPr>
        <w:t>若身份证丢失，须提交临时身份证原件（有效期内）或公安机关开具的户籍证明原件（贴有本人近期一寸免冠照片、盖骑缝章）。</w:t>
      </w:r>
    </w:p>
    <w:bookmarkEnd w:id="0"/>
    <w:p w14:paraId="702236AC">
      <w:pPr>
        <w:spacing w:line="560" w:lineRule="exact"/>
        <w:ind w:firstLine="560" w:firstLineChars="200"/>
        <w:rPr>
          <w:rFonts w:ascii="仿宋_GB2312" w:hAnsi="Helvetica" w:eastAsia="仿宋_GB2312"/>
          <w:sz w:val="28"/>
          <w:szCs w:val="28"/>
        </w:rPr>
      </w:pPr>
      <w:r>
        <w:rPr>
          <w:rFonts w:hint="eastAsia" w:ascii="仿宋_GB2312" w:eastAsia="仿宋_GB2312"/>
          <w:sz w:val="28"/>
          <w:szCs w:val="28"/>
        </w:rPr>
        <w:t>2.准考证（如丢失可登录研招网重新下载）</w:t>
      </w:r>
    </w:p>
    <w:p w14:paraId="6B985C4B">
      <w:pPr>
        <w:spacing w:line="560" w:lineRule="exact"/>
        <w:ind w:firstLine="560" w:firstLineChars="200"/>
        <w:rPr>
          <w:rFonts w:ascii="仿宋_GB2312" w:hAnsi="宋体" w:eastAsia="仿宋_GB2312"/>
          <w:kern w:val="0"/>
          <w:sz w:val="28"/>
          <w:szCs w:val="28"/>
        </w:rPr>
      </w:pPr>
      <w:r>
        <w:rPr>
          <w:rFonts w:hint="eastAsia" w:ascii="仿宋_GB2312" w:eastAsia="仿宋_GB2312"/>
          <w:sz w:val="28"/>
          <w:szCs w:val="28"/>
        </w:rPr>
        <w:t>3.</w:t>
      </w:r>
      <w:r>
        <w:rPr>
          <w:rFonts w:hint="eastAsia" w:ascii="仿宋_GB2312" w:hAnsi="宋体" w:eastAsia="仿宋_GB2312"/>
          <w:kern w:val="0"/>
          <w:sz w:val="28"/>
          <w:szCs w:val="28"/>
        </w:rPr>
        <w:t>学历学籍材料</w:t>
      </w:r>
    </w:p>
    <w:p w14:paraId="4F19942B">
      <w:pPr>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（1）应届本科毕业生：《教育部学籍在线验证报告》（中国高等教育学生信息网）</w:t>
      </w:r>
    </w:p>
    <w:p w14:paraId="23561741">
      <w:pPr>
        <w:spacing w:line="560" w:lineRule="exact"/>
        <w:ind w:firstLine="560" w:firstLineChars="200"/>
        <w:rPr>
          <w:rFonts w:ascii="仿宋_GB2312" w:eastAsia="仿宋_GB2312"/>
          <w:sz w:val="28"/>
          <w:szCs w:val="28"/>
        </w:rPr>
      </w:pPr>
      <w:r>
        <w:rPr>
          <w:rFonts w:hint="eastAsia" w:ascii="仿宋_GB2312" w:hAnsi="Times New Roman Regular" w:eastAsia="仿宋_GB2312" w:cs="Times New Roman Regular"/>
          <w:sz w:val="28"/>
          <w:szCs w:val="28"/>
        </w:rPr>
        <w:t>（2）2026年9月1日前可取得国家承认本科毕业证书的网络教育本科生</w:t>
      </w:r>
      <w:r>
        <w:rPr>
          <w:rFonts w:hint="eastAsia" w:ascii="仿宋_GB2312" w:eastAsia="仿宋_GB2312"/>
          <w:sz w:val="28"/>
          <w:szCs w:val="28"/>
        </w:rPr>
        <w:t>：《教育部学籍在线验证报告》（中国高等教育学生信息网）</w:t>
      </w:r>
    </w:p>
    <w:p w14:paraId="38C6E617">
      <w:pPr>
        <w:spacing w:line="560" w:lineRule="exact"/>
        <w:ind w:firstLine="560" w:firstLineChars="200"/>
        <w:rPr>
          <w:rFonts w:ascii="仿宋_GB2312" w:hAnsi="宋体" w:eastAsia="仿宋_GB2312"/>
          <w:kern w:val="0"/>
          <w:sz w:val="28"/>
          <w:szCs w:val="28"/>
        </w:rPr>
      </w:pPr>
      <w:r>
        <w:rPr>
          <w:rFonts w:hint="eastAsia" w:ascii="仿宋_GB2312" w:eastAsia="仿宋_GB2312"/>
          <w:sz w:val="28"/>
          <w:szCs w:val="28"/>
        </w:rPr>
        <w:t>（3）</w:t>
      </w:r>
      <w:r>
        <w:rPr>
          <w:rFonts w:hint="eastAsia" w:ascii="仿宋_GB2312" w:hAnsi="Times New Roman Regular" w:eastAsia="仿宋_GB2312" w:cs="Times New Roman Regular"/>
          <w:sz w:val="28"/>
          <w:szCs w:val="28"/>
        </w:rPr>
        <w:t>2026年9月1日前可取得国家承认本科毕业证书的自考生：自考准考证原件</w:t>
      </w:r>
      <w:r>
        <w:rPr>
          <w:rFonts w:hint="eastAsia" w:ascii="仿宋_GB2312" w:hAnsi="华文中宋" w:eastAsia="仿宋_GB2312"/>
          <w:sz w:val="28"/>
          <w:szCs w:val="28"/>
        </w:rPr>
        <w:t>（丢失准考证的，由考籍所在省自考办出具考籍证明或成绩证明</w:t>
      </w:r>
      <w:r>
        <w:rPr>
          <w:rFonts w:hint="eastAsia" w:ascii="仿宋_GB2312" w:hAnsi="Times New Roman Regular" w:eastAsia="仿宋_GB2312" w:cs="Times New Roman Regular"/>
          <w:sz w:val="28"/>
          <w:szCs w:val="28"/>
        </w:rPr>
        <w:t>）</w:t>
      </w:r>
    </w:p>
    <w:p w14:paraId="4175D327">
      <w:pPr>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（4）往届考生：</w:t>
      </w:r>
      <w:r>
        <w:rPr>
          <w:rFonts w:hint="eastAsia" w:ascii="仿宋_GB2312" w:hAnsi="华文中宋" w:eastAsia="仿宋_GB2312"/>
          <w:sz w:val="28"/>
          <w:szCs w:val="28"/>
        </w:rPr>
        <w:t>《教育部学历证书电子注册备案表》（中国高等教育学生信息网）或《中国高等教育学历认证报告》</w:t>
      </w:r>
    </w:p>
    <w:p w14:paraId="60324DFE">
      <w:pPr>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（5）在国（境）外获得学历学位证书的考生：</w:t>
      </w:r>
      <w:r>
        <w:rPr>
          <w:rFonts w:hint="eastAsia" w:ascii="仿宋_GB2312" w:eastAsia="仿宋_GB2312"/>
          <w:sz w:val="28"/>
          <w:szCs w:val="28"/>
        </w:rPr>
        <w:t>《国（境）外学历学位认证书》</w:t>
      </w:r>
      <w:r>
        <w:rPr>
          <w:rFonts w:hint="eastAsia" w:ascii="仿宋_GB2312" w:hAnsi="宋体" w:eastAsia="仿宋_GB2312"/>
          <w:kern w:val="0"/>
          <w:sz w:val="28"/>
          <w:szCs w:val="28"/>
        </w:rPr>
        <w:t>（教育部留学服务中心）</w:t>
      </w:r>
    </w:p>
    <w:p w14:paraId="04E6E66A">
      <w:pPr>
        <w:spacing w:line="560" w:lineRule="exact"/>
        <w:ind w:firstLine="560" w:firstLineChars="200"/>
        <w:rPr>
          <w:rFonts w:ascii="仿宋_GB2312" w:hAnsi="华文仿宋" w:eastAsia="仿宋_GB2312"/>
          <w:sz w:val="28"/>
          <w:szCs w:val="28"/>
        </w:rPr>
      </w:pPr>
      <w:r>
        <w:rPr>
          <w:rFonts w:hint="eastAsia" w:ascii="仿宋_GB2312" w:eastAsia="仿宋_GB2312"/>
          <w:sz w:val="28"/>
          <w:szCs w:val="28"/>
        </w:rPr>
        <w:t>4.大学学习成绩单</w:t>
      </w:r>
      <w:r>
        <w:rPr>
          <w:rFonts w:hint="eastAsia" w:ascii="仿宋_GB2312" w:hAnsi="华文仿宋" w:eastAsia="仿宋_GB2312"/>
          <w:sz w:val="28"/>
          <w:szCs w:val="28"/>
        </w:rPr>
        <w:t>（加盖毕业学校教务处或档案管理部门印章）</w:t>
      </w:r>
    </w:p>
    <w:p w14:paraId="29221B85">
      <w:pPr>
        <w:spacing w:line="560" w:lineRule="exact"/>
        <w:ind w:firstLine="560" w:firstLineChars="200"/>
        <w:rPr>
          <w:rFonts w:ascii="仿宋_GB2312" w:hAnsi="华文中宋" w:eastAsia="仿宋_GB2312"/>
          <w:sz w:val="28"/>
          <w:szCs w:val="28"/>
        </w:rPr>
      </w:pPr>
      <w:r>
        <w:rPr>
          <w:rFonts w:hint="eastAsia" w:ascii="仿宋_GB2312" w:eastAsia="仿宋_GB2312"/>
          <w:sz w:val="28"/>
          <w:szCs w:val="28"/>
        </w:rPr>
        <w:t>5.报考“退役大学生士兵计划”或申请享受退役大学生士兵初试加分政策的考生：《入伍批准书》</w:t>
      </w:r>
      <w:r>
        <w:rPr>
          <w:rFonts w:hint="eastAsia" w:ascii="仿宋_GB2312" w:hAnsi="华文中宋" w:eastAsia="仿宋_GB2312"/>
          <w:sz w:val="28"/>
          <w:szCs w:val="28"/>
        </w:rPr>
        <w:t>（在个人档案中留存，复印件加盖档案管理部门公章的视为有效）和《退出现役证》原件</w:t>
      </w:r>
    </w:p>
    <w:p w14:paraId="1C867AD6">
      <w:pPr>
        <w:spacing w:line="560" w:lineRule="exact"/>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6</w:t>
      </w:r>
      <w:r>
        <w:rPr>
          <w:rFonts w:ascii="仿宋_GB2312" w:hAnsi="华文中宋" w:eastAsia="仿宋_GB2312"/>
          <w:color w:val="000000" w:themeColor="text1"/>
          <w:sz w:val="28"/>
          <w:szCs w:val="28"/>
          <w14:textFill>
            <w14:solidFill>
              <w14:schemeClr w14:val="tx1"/>
            </w14:solidFill>
          </w14:textFill>
        </w:rPr>
        <w:t>.申请享受初试加分的考生：符合加分政策的相关证明材料</w:t>
      </w:r>
    </w:p>
    <w:p w14:paraId="6E231C16">
      <w:pPr>
        <w:spacing w:line="560" w:lineRule="exact"/>
        <w:ind w:firstLine="560" w:firstLineChars="200"/>
        <w:rPr>
          <w:rFonts w:ascii="仿宋_GB2312" w:hAnsi="华文中宋" w:eastAsia="仿宋_GB2312"/>
          <w:sz w:val="28"/>
          <w:szCs w:val="28"/>
        </w:rPr>
      </w:pPr>
      <w:r>
        <w:rPr>
          <w:rFonts w:ascii="仿宋_GB2312" w:hAnsi="华文中宋" w:eastAsia="仿宋_GB2312"/>
          <w:sz w:val="28"/>
          <w:szCs w:val="28"/>
        </w:rPr>
        <w:t>7</w:t>
      </w:r>
      <w:r>
        <w:rPr>
          <w:rFonts w:hint="eastAsia" w:ascii="仿宋_GB2312" w:hAnsi="华文中宋" w:eastAsia="仿宋_GB2312"/>
          <w:sz w:val="28"/>
          <w:szCs w:val="28"/>
        </w:rPr>
        <w:t>.报考“少数民族高层次骨干人才计划”考生：《报考2026年少数民族高层次骨干人才计划硕士研究生考生登记表》</w:t>
      </w:r>
    </w:p>
    <w:p w14:paraId="53F9689C">
      <w:pPr>
        <w:spacing w:line="560" w:lineRule="exact"/>
        <w:ind w:firstLine="560" w:firstLineChars="200"/>
        <w:rPr>
          <w:rFonts w:ascii="仿宋_GB2312" w:hAnsi="华文中宋" w:eastAsia="仿宋_GB2312"/>
          <w:sz w:val="28"/>
          <w:szCs w:val="28"/>
        </w:rPr>
      </w:pPr>
      <w:r>
        <w:rPr>
          <w:rFonts w:ascii="仿宋_GB2312" w:hAnsi="华文中宋" w:eastAsia="仿宋_GB2312"/>
          <w:sz w:val="28"/>
          <w:szCs w:val="28"/>
        </w:rPr>
        <w:t>8</w:t>
      </w:r>
      <w:r>
        <w:rPr>
          <w:rFonts w:hint="eastAsia" w:ascii="仿宋_GB2312" w:hAnsi="华文中宋" w:eastAsia="仿宋_GB2312"/>
          <w:sz w:val="28"/>
          <w:szCs w:val="28"/>
        </w:rPr>
        <w:t>.申请享受</w:t>
      </w:r>
      <w:r>
        <w:rPr>
          <w:rFonts w:hint="eastAsia" w:ascii="仿宋_GB2312" w:eastAsia="仿宋_GB2312"/>
          <w:sz w:val="28"/>
          <w:szCs w:val="28"/>
        </w:rPr>
        <w:t>少数民族照顾政策的考生：</w:t>
      </w:r>
      <w:r>
        <w:rPr>
          <w:rFonts w:hint="eastAsia" w:ascii="仿宋_GB2312" w:hAnsi="Times New Roman" w:eastAsia="仿宋_GB2312" w:cs="Times New Roman"/>
          <w:sz w:val="28"/>
          <w:szCs w:val="28"/>
        </w:rPr>
        <w:t>户口本首页和个人单页、定向就业材料</w:t>
      </w:r>
    </w:p>
    <w:p w14:paraId="222F02D0">
      <w:pPr>
        <w:spacing w:line="560" w:lineRule="exact"/>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思想政治素质和品德考核材料：提交《报考攻读硕士学位研究生思想政治素质和品德情况表》（见附件1），应届毕业生由所在学校学生管理部门填写并加盖印章，非应届毕业生由档案或工作所在单位的人事、政工部门填写并加盖印章</w:t>
      </w:r>
    </w:p>
    <w:p w14:paraId="008BACC0">
      <w:pPr>
        <w:spacing w:line="560" w:lineRule="exact"/>
        <w:ind w:firstLine="560" w:firstLineChars="200"/>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.外语水平证明、发表论文、专利、各项获奖证书等</w:t>
      </w:r>
    </w:p>
    <w:p w14:paraId="096EE44C">
      <w:pPr>
        <w:spacing w:line="56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1</w:t>
      </w:r>
      <w:r>
        <w:rPr>
          <w:rFonts w:hint="eastAsia" w:ascii="仿宋_GB2312" w:eastAsia="仿宋_GB2312"/>
          <w:sz w:val="28"/>
          <w:szCs w:val="28"/>
        </w:rPr>
        <w:t>.曾经更改过姓名或身份证号的考生：需提供考生本人户口本原件或公安机关开具的证明原件</w:t>
      </w:r>
    </w:p>
    <w:p w14:paraId="7E38E0F8">
      <w:pPr>
        <w:spacing w:line="56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2</w:t>
      </w:r>
      <w:r>
        <w:rPr>
          <w:rFonts w:hint="eastAsia" w:ascii="仿宋_GB2312" w:eastAsia="仿宋_GB2312"/>
          <w:sz w:val="28"/>
          <w:szCs w:val="28"/>
        </w:rPr>
        <w:t>. 《2026年硕士研究生招生复试考生诚信考试承诺书》（打印纸质版，手写签名，见附件2）</w:t>
      </w:r>
    </w:p>
    <w:p w14:paraId="671B799F">
      <w:pPr>
        <w:spacing w:line="56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3</w:t>
      </w:r>
      <w:r>
        <w:rPr>
          <w:rFonts w:hint="eastAsia" w:ascii="仿宋_GB2312" w:eastAsia="仿宋_GB2312"/>
          <w:sz w:val="28"/>
          <w:szCs w:val="28"/>
        </w:rPr>
        <w:t>.复试费缴费成功截图。</w:t>
      </w:r>
    </w:p>
    <w:p w14:paraId="2415C42C">
      <w:pPr>
        <w:spacing w:line="560" w:lineRule="exact"/>
        <w:ind w:firstLine="560" w:firstLineChars="200"/>
        <w:rPr>
          <w:rFonts w:ascii="仿宋_GB2312" w:hAnsi="Helvetica" w:eastAsia="仿宋_GB2312"/>
          <w:color w:val="000000" w:themeColor="text1"/>
          <w:sz w:val="28"/>
          <w:szCs w:val="28"/>
          <w14:textFill>
            <w14:solidFill>
              <w14:schemeClr w14:val="tx1"/>
            </w14:solidFill>
          </w14:textFill>
        </w:rPr>
      </w:pPr>
      <w:r>
        <w:rPr>
          <w:rFonts w:hint="eastAsia" w:ascii="仿宋_GB2312" w:hAnsi="Helvetica" w:eastAsia="仿宋_GB2312"/>
          <w:color w:val="000000" w:themeColor="text1"/>
          <w:sz w:val="28"/>
          <w:szCs w:val="28"/>
          <w14:textFill>
            <w14:solidFill>
              <w14:schemeClr w14:val="tx1"/>
            </w14:solidFill>
          </w14:textFill>
        </w:rPr>
        <w:t>1</w:t>
      </w:r>
      <w:r>
        <w:rPr>
          <w:rFonts w:ascii="仿宋_GB2312" w:hAnsi="Helvetica" w:eastAsia="仿宋_GB2312"/>
          <w:color w:val="000000" w:themeColor="text1"/>
          <w:sz w:val="28"/>
          <w:szCs w:val="28"/>
          <w14:textFill>
            <w14:solidFill>
              <w14:schemeClr w14:val="tx1"/>
            </w14:solidFill>
          </w14:textFill>
        </w:rPr>
        <w:t>4</w:t>
      </w:r>
      <w:r>
        <w:rPr>
          <w:rFonts w:hint="eastAsia" w:ascii="仿宋_GB2312" w:hAnsi="Helvetica" w:eastAsia="仿宋_GB2312"/>
          <w:color w:val="000000" w:themeColor="text1"/>
          <w:sz w:val="28"/>
          <w:szCs w:val="28"/>
          <w14:textFill>
            <w14:solidFill>
              <w14:schemeClr w14:val="tx1"/>
            </w14:solidFill>
          </w14:textFill>
        </w:rPr>
        <w:t>.代表作（个人最高水平的获奖、作品、论文等学术成果</w:t>
      </w:r>
      <w:r>
        <w:rPr>
          <w:rFonts w:hint="eastAsia" w:ascii="仿宋_GB2312" w:hAnsi="Helvetica" w:eastAsia="仿宋_GB2312"/>
          <w:color w:val="000000" w:themeColor="text1"/>
          <w:sz w:val="28"/>
          <w:szCs w:val="28"/>
          <w:lang w:eastAsia="zh-CN"/>
          <w14:textFill>
            <w14:solidFill>
              <w14:schemeClr w14:val="tx1"/>
            </w14:solidFill>
          </w14:textFill>
        </w:rPr>
        <w:t>）</w:t>
      </w:r>
      <w:r>
        <w:rPr>
          <w:rFonts w:hint="eastAsia" w:ascii="仿宋_GB2312" w:hAnsi="Helvetica" w:eastAsia="仿宋_GB2312"/>
          <w:color w:val="000000" w:themeColor="text1"/>
          <w:sz w:val="28"/>
          <w:szCs w:val="28"/>
          <w14:textFill>
            <w14:solidFill>
              <w14:schemeClr w14:val="tx1"/>
            </w14:solidFill>
          </w14:textFill>
        </w:rPr>
        <w:t>。</w:t>
      </w:r>
      <w:bookmarkStart w:id="2" w:name="_GoBack"/>
      <w:bookmarkEnd w:id="2"/>
    </w:p>
    <w:p w14:paraId="721385AD">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考生收到复试通知（以我院网站公布的参加复试考生名单为准）并同意复试后，采用现场复试方式的，资格审核在报考学院进行。</w:t>
      </w:r>
    </w:p>
    <w:p w14:paraId="71FC38CD">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资格审查时间：3月28日15：</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0-17：</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0</w:t>
      </w:r>
    </w:p>
    <w:p w14:paraId="741C1385">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资格审查地点：艺术学院三楼B315</w:t>
      </w:r>
    </w:p>
    <w:p w14:paraId="7425C9AD">
      <w:pPr>
        <w:spacing w:line="560" w:lineRule="exact"/>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五、复试名单公开</w:t>
      </w:r>
    </w:p>
    <w:p w14:paraId="68B6F57F">
      <w:pPr>
        <w:spacing w:line="560" w:lineRule="exact"/>
        <w:ind w:firstLine="560" w:firstLineChars="200"/>
        <w:rPr>
          <w:rFonts w:ascii="仿宋_GB2312" w:eastAsia="仿宋_GB2312"/>
          <w:sz w:val="28"/>
          <w:szCs w:val="28"/>
        </w:rPr>
      </w:pPr>
      <w:r>
        <w:rPr>
          <w:rFonts w:hint="eastAsia" w:ascii="仿宋_GB2312" w:eastAsia="仿宋_GB2312"/>
          <w:sz w:val="28"/>
          <w:szCs w:val="28"/>
        </w:rPr>
        <w:t>各批次复试前，在我院网站向社会公布进入复试的考生名单（包括考生姓名、考生编号、初试各科成绩等信息）。对报考专项计划、享受初试加分或照顾政策的考生相关情况，在公布考生名单时进行说明。</w:t>
      </w:r>
    </w:p>
    <w:p w14:paraId="4DF4E885">
      <w:pPr>
        <w:spacing w:line="560" w:lineRule="exact"/>
        <w:ind w:firstLine="560" w:firstLineChars="200"/>
        <w:rPr>
          <w:rFonts w:ascii="仿宋_GB2312" w:eastAsia="仿宋_GB2312"/>
          <w:sz w:val="28"/>
          <w:szCs w:val="28"/>
        </w:rPr>
      </w:pPr>
      <w:r>
        <w:rPr>
          <w:rFonts w:hint="eastAsia" w:ascii="仿宋_GB2312" w:eastAsia="仿宋_GB2312"/>
          <w:sz w:val="28"/>
          <w:szCs w:val="28"/>
        </w:rPr>
        <w:t>我院不做破格复试。</w:t>
      </w:r>
    </w:p>
    <w:p w14:paraId="478918EC">
      <w:pPr>
        <w:spacing w:before="312" w:beforeLines="100" w:after="156" w:afterLines="50" w:line="560" w:lineRule="exact"/>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六、 复试方式、复试时间和复试费用</w:t>
      </w:r>
    </w:p>
    <w:p w14:paraId="718DF112">
      <w:pPr>
        <w:spacing w:before="156" w:beforeLines="50" w:after="156" w:afterLines="50" w:line="560" w:lineRule="exact"/>
        <w:ind w:firstLine="562" w:firstLineChars="200"/>
        <w:rPr>
          <w:rFonts w:ascii="仿宋_GB2312" w:hAnsi="Times New Roman" w:eastAsia="仿宋_GB2312" w:cs="Times New Roman"/>
          <w:b/>
          <w:bCs/>
          <w:color w:val="00B0F0"/>
          <w:sz w:val="28"/>
          <w:szCs w:val="28"/>
        </w:rPr>
      </w:pPr>
      <w:r>
        <w:rPr>
          <w:rFonts w:hint="eastAsia" w:ascii="仿宋_GB2312" w:hAnsi="Times New Roman" w:eastAsia="仿宋_GB2312" w:cs="Times New Roman"/>
          <w:b/>
          <w:bCs/>
          <w:sz w:val="28"/>
          <w:szCs w:val="28"/>
        </w:rPr>
        <w:t>1.复试方式</w:t>
      </w:r>
    </w:p>
    <w:p w14:paraId="6D66297C">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我院采用现场复试的方式进行。</w:t>
      </w:r>
    </w:p>
    <w:p w14:paraId="03527442">
      <w:pPr>
        <w:spacing w:before="156" w:beforeLines="50" w:after="156" w:afterLines="50" w:line="560" w:lineRule="exact"/>
        <w:ind w:firstLine="562" w:firstLineChars="200"/>
        <w:rPr>
          <w:rFonts w:ascii="仿宋_GB2312" w:hAnsi="Times New Roman" w:eastAsia="仿宋_GB2312" w:cs="Times New Roman"/>
          <w:b/>
          <w:bCs/>
          <w:color w:val="000000" w:themeColor="text1"/>
          <w:sz w:val="28"/>
          <w:szCs w:val="28"/>
          <w14:textFill>
            <w14:solidFill>
              <w14:schemeClr w14:val="tx1"/>
            </w14:solidFill>
          </w14:textFill>
        </w:rPr>
      </w:pPr>
      <w:r>
        <w:rPr>
          <w:rFonts w:hint="eastAsia" w:ascii="仿宋_GB2312" w:hAnsi="Times New Roman" w:eastAsia="仿宋_GB2312" w:cs="Times New Roman"/>
          <w:b/>
          <w:bCs/>
          <w:color w:val="000000" w:themeColor="text1"/>
          <w:sz w:val="28"/>
          <w:szCs w:val="28"/>
          <w14:textFill>
            <w14:solidFill>
              <w14:schemeClr w14:val="tx1"/>
            </w14:solidFill>
          </w14:textFill>
        </w:rPr>
        <w:t>2.复试时间</w:t>
      </w:r>
    </w:p>
    <w:p w14:paraId="0D42C559">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一志愿进入复试的考生在</w:t>
      </w:r>
      <w:r>
        <w:rPr>
          <w:rFonts w:hint="eastAsia" w:ascii="仿宋_GB2312" w:hAnsi="Times New Roman" w:eastAsia="仿宋_GB2312" w:cs="Times New Roman"/>
          <w:bCs/>
          <w:color w:val="000000" w:themeColor="text1"/>
          <w:sz w:val="28"/>
          <w:szCs w:val="28"/>
          <w14:textFill>
            <w14:solidFill>
              <w14:schemeClr w14:val="tx1"/>
            </w14:solidFill>
          </w14:textFill>
        </w:rPr>
        <w:t>3月29日</w:t>
      </w:r>
      <w:r>
        <w:rPr>
          <w:rFonts w:hint="eastAsia" w:ascii="仿宋_GB2312" w:hAnsi="Times New Roman" w:eastAsia="仿宋_GB2312" w:cs="Times New Roman"/>
          <w:color w:val="000000" w:themeColor="text1"/>
          <w:sz w:val="28"/>
          <w:szCs w:val="28"/>
          <w14:textFill>
            <w14:solidFill>
              <w14:schemeClr w14:val="tx1"/>
            </w14:solidFill>
          </w14:textFill>
        </w:rPr>
        <w:t>进行复试，9：00-9：30笔试，10：00开始面试。</w:t>
      </w:r>
    </w:p>
    <w:p w14:paraId="559991BE">
      <w:pPr>
        <w:spacing w:line="560" w:lineRule="exact"/>
        <w:ind w:firstLine="560" w:firstLineChars="200"/>
        <w:rPr>
          <w:rFonts w:ascii="仿宋_GB2312" w:eastAsia="仿宋_GB2312"/>
          <w:sz w:val="28"/>
          <w:szCs w:val="28"/>
        </w:rPr>
      </w:pPr>
      <w:r>
        <w:rPr>
          <w:rFonts w:hint="eastAsia" w:ascii="仿宋_GB2312" w:eastAsia="仿宋_GB2312"/>
          <w:sz w:val="28"/>
          <w:szCs w:val="28"/>
        </w:rPr>
        <w:t>调剂考生复试时间：在4月8日-4月20日期间进行，按照教育部统一安排，“全国硕士生招生复试调剂服务系统”（以下简称“调剂系统”）开通后，我院将按照调剂程序分时间段开展调剂考生复试工作，并于4月20日前完成调剂考生复试录取工作。</w:t>
      </w:r>
    </w:p>
    <w:p w14:paraId="7F790F82">
      <w:pPr>
        <w:spacing w:line="560" w:lineRule="exact"/>
        <w:ind w:firstLine="560" w:firstLineChars="200"/>
        <w:rPr>
          <w:rFonts w:ascii="仿宋_GB2312" w:eastAsia="仿宋_GB2312"/>
          <w:sz w:val="28"/>
          <w:szCs w:val="28"/>
        </w:rPr>
      </w:pPr>
      <w:r>
        <w:rPr>
          <w:rFonts w:hint="eastAsia" w:ascii="仿宋_GB2312" w:eastAsia="仿宋_GB2312"/>
          <w:sz w:val="28"/>
          <w:szCs w:val="28"/>
        </w:rPr>
        <w:t>请考生在近期务必保持联系方式畅通（包括手机、邮箱等），以便接收关于复试资格审核及复试的有关通知。考生联系方式以考生报名时填写的信息为准。</w:t>
      </w:r>
    </w:p>
    <w:p w14:paraId="6254FBEA">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3.现场复试地点</w:t>
      </w:r>
    </w:p>
    <w:p w14:paraId="71512C6D">
      <w:pPr>
        <w:spacing w:line="560" w:lineRule="exact"/>
        <w:ind w:firstLine="560" w:firstLineChars="200"/>
        <w:rPr>
          <w:rFonts w:ascii="仿宋_GB2312" w:hAnsi="Helvetica" w:eastAsia="仿宋_GB2312"/>
          <w:sz w:val="28"/>
          <w:szCs w:val="28"/>
        </w:rPr>
      </w:pPr>
      <w:r>
        <w:rPr>
          <w:rFonts w:hint="eastAsia" w:ascii="仿宋_GB2312" w:hAnsi="Helvetica" w:eastAsia="仿宋_GB2312"/>
          <w:color w:val="000000" w:themeColor="text1"/>
          <w:sz w:val="28"/>
          <w:szCs w:val="28"/>
          <w14:textFill>
            <w14:solidFill>
              <w14:schemeClr w14:val="tx1"/>
            </w14:solidFill>
          </w14:textFill>
        </w:rPr>
        <w:t>天津市西青区宾水西道399号，</w:t>
      </w:r>
      <w:r>
        <w:rPr>
          <w:rFonts w:hint="eastAsia" w:ascii="仿宋_GB2312" w:hAnsi="Times New Roman" w:eastAsia="仿宋_GB2312" w:cs="Times New Roman"/>
          <w:color w:val="000000" w:themeColor="text1"/>
          <w:sz w:val="28"/>
          <w:szCs w:val="28"/>
          <w14:textFill>
            <w14:solidFill>
              <w14:schemeClr w14:val="tx1"/>
            </w14:solidFill>
          </w14:textFill>
        </w:rPr>
        <w:t>艺术学院</w:t>
      </w:r>
      <w:r>
        <w:rPr>
          <w:rFonts w:hint="eastAsia" w:ascii="仿宋_GB2312" w:hAnsi="Helvetica" w:eastAsia="仿宋_GB2312"/>
          <w:color w:val="000000" w:themeColor="text1"/>
          <w:sz w:val="28"/>
          <w:szCs w:val="28"/>
          <w14:textFill>
            <w14:solidFill>
              <w14:schemeClr w14:val="tx1"/>
            </w14:solidFill>
          </w14:textFill>
        </w:rPr>
        <w:t>，具体地点资格审查时另行通知。</w:t>
      </w:r>
      <w:r>
        <w:rPr>
          <w:rFonts w:hint="eastAsia" w:ascii="仿宋_GB2312" w:hAnsi="Helvetica" w:eastAsia="仿宋_GB2312"/>
          <w:sz w:val="28"/>
          <w:szCs w:val="28"/>
        </w:rPr>
        <w:t>复试期间，校外考生凭准考证进校。</w:t>
      </w:r>
    </w:p>
    <w:p w14:paraId="52224B6E">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4.复试费用</w:t>
      </w:r>
    </w:p>
    <w:p w14:paraId="08B4A24A">
      <w:pPr>
        <w:spacing w:line="560" w:lineRule="exact"/>
        <w:ind w:firstLine="560" w:firstLineChars="200"/>
        <w:rPr>
          <w:rFonts w:ascii="仿宋_GB2312" w:eastAsia="仿宋_GB2312"/>
          <w:sz w:val="28"/>
          <w:szCs w:val="28"/>
        </w:rPr>
      </w:pPr>
      <w:r>
        <w:rPr>
          <w:rFonts w:hint="eastAsia" w:ascii="仿宋_GB2312" w:eastAsia="仿宋_GB2312"/>
          <w:sz w:val="28"/>
          <w:szCs w:val="28"/>
        </w:rPr>
        <w:t>缴费标准：依据天津市有关文件规定，收取复试费90元/生。</w:t>
      </w:r>
    </w:p>
    <w:p w14:paraId="14C2B6DE">
      <w:pPr>
        <w:spacing w:line="560" w:lineRule="exact"/>
        <w:ind w:firstLine="560" w:firstLineChars="200"/>
        <w:rPr>
          <w:rFonts w:ascii="仿宋_GB2312" w:eastAsia="仿宋_GB2312"/>
          <w:sz w:val="28"/>
          <w:szCs w:val="28"/>
        </w:rPr>
      </w:pPr>
      <w:r>
        <w:rPr>
          <w:rFonts w:hint="eastAsia" w:ascii="仿宋_GB2312" w:eastAsia="仿宋_GB2312"/>
          <w:sz w:val="28"/>
          <w:szCs w:val="28"/>
        </w:rPr>
        <w:t>缴费方式：复试费用须由考生个人在我校财务处网上支付平台交纳。缴费网址：</w:t>
      </w:r>
      <w:r>
        <w:fldChar w:fldCharType="begin"/>
      </w:r>
      <w:r>
        <w:instrText xml:space="preserve"> HYPERLINK "https://pay.tiangong.edu.cn/" </w:instrText>
      </w:r>
      <w:r>
        <w:fldChar w:fldCharType="separate"/>
      </w:r>
      <w:r>
        <w:rPr>
          <w:rStyle w:val="11"/>
          <w:rFonts w:hint="eastAsia" w:ascii="仿宋_GB2312" w:eastAsia="仿宋_GB2312"/>
          <w:sz w:val="28"/>
          <w:szCs w:val="28"/>
        </w:rPr>
        <w:t>https://pay.tiangong.edu.cn/</w:t>
      </w:r>
      <w:r>
        <w:rPr>
          <w:rStyle w:val="11"/>
          <w:rFonts w:hint="eastAsia" w:ascii="仿宋_GB2312" w:eastAsia="仿宋_GB2312"/>
          <w:sz w:val="28"/>
          <w:szCs w:val="28"/>
        </w:rPr>
        <w:fldChar w:fldCharType="end"/>
      </w:r>
      <w:r>
        <w:rPr>
          <w:rFonts w:hint="eastAsia" w:ascii="仿宋_GB2312" w:eastAsia="仿宋_GB2312"/>
          <w:sz w:val="28"/>
          <w:szCs w:val="28"/>
        </w:rPr>
        <w:t>。</w:t>
      </w:r>
    </w:p>
    <w:p w14:paraId="0CEE2F27">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rPr>
        <w:t>缴费时间：</w:t>
      </w:r>
      <w:r>
        <w:rPr>
          <w:rFonts w:hint="eastAsia" w:ascii="仿宋_GB2312" w:eastAsia="仿宋_GB2312"/>
          <w:color w:val="000000" w:themeColor="text1"/>
          <w:sz w:val="28"/>
          <w:szCs w:val="28"/>
          <w14:textFill>
            <w14:solidFill>
              <w14:schemeClr w14:val="tx1"/>
            </w14:solidFill>
          </w14:textFill>
        </w:rPr>
        <w:t>即日起至3月28日12时。</w:t>
      </w:r>
    </w:p>
    <w:p w14:paraId="2893B01B">
      <w:pPr>
        <w:spacing w:line="560" w:lineRule="exact"/>
        <w:ind w:firstLine="560" w:firstLineChars="200"/>
        <w:rPr>
          <w:rFonts w:ascii="仿宋_GB2312" w:eastAsia="仿宋_GB2312"/>
          <w:sz w:val="28"/>
          <w:szCs w:val="28"/>
        </w:rPr>
      </w:pPr>
      <w:r>
        <w:rPr>
          <w:rFonts w:hint="eastAsia" w:ascii="仿宋_GB2312" w:hAnsi="Times New Roman" w:eastAsia="仿宋_GB2312" w:cs="Times New Roman"/>
          <w:sz w:val="28"/>
          <w:szCs w:val="28"/>
        </w:rPr>
        <w:drawing>
          <wp:anchor distT="0" distB="0" distL="114300" distR="114300" simplePos="0" relativeHeight="251659264" behindDoc="0" locked="0" layoutInCell="1" allowOverlap="1">
            <wp:simplePos x="0" y="0"/>
            <wp:positionH relativeFrom="margin">
              <wp:align>left</wp:align>
            </wp:positionH>
            <wp:positionV relativeFrom="paragraph">
              <wp:posOffset>1969770</wp:posOffset>
            </wp:positionV>
            <wp:extent cx="5273040" cy="2211070"/>
            <wp:effectExtent l="0" t="0" r="3810" b="0"/>
            <wp:wrapTopAndBottom/>
            <wp:docPr id="2007483649" name="图片 1" descr="1647321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3649" name="图片 1" descr="164732124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3040" cy="2211070"/>
                    </a:xfrm>
                    <a:prstGeom prst="rect">
                      <a:avLst/>
                    </a:prstGeom>
                    <a:noFill/>
                    <a:ln>
                      <a:noFill/>
                    </a:ln>
                  </pic:spPr>
                </pic:pic>
              </a:graphicData>
            </a:graphic>
          </wp:anchor>
        </w:drawing>
      </w:r>
      <w:r>
        <w:rPr>
          <w:rFonts w:hint="eastAsia" w:ascii="仿宋_GB2312" w:eastAsia="仿宋_GB2312"/>
          <w:sz w:val="28"/>
          <w:szCs w:val="28"/>
        </w:rPr>
        <w:t>特别提示：各位考生需要先在缴费界面右上角的报名系统中进行报名注册后，再登录缴费。缴费后因考生自身原因不能参加复试者，已支付的复试费不退。考生调剂阶段如需再次参加我校复试的，可不必重复缴费。</w:t>
      </w:r>
    </w:p>
    <w:p w14:paraId="44D7B37B">
      <w:pPr>
        <w:spacing w:before="312" w:beforeLines="100" w:after="156" w:afterLines="50" w:line="560" w:lineRule="exact"/>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七、复试内容和复试成绩</w:t>
      </w:r>
    </w:p>
    <w:p w14:paraId="220D4DF4">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1.复试内容</w:t>
      </w:r>
    </w:p>
    <w:p w14:paraId="73743C11">
      <w:pPr>
        <w:spacing w:line="560" w:lineRule="exact"/>
        <w:ind w:firstLine="560" w:firstLineChars="200"/>
        <w:rPr>
          <w:rFonts w:ascii="仿宋_GB2312" w:eastAsia="仿宋_GB2312"/>
          <w:sz w:val="28"/>
          <w:szCs w:val="28"/>
        </w:rPr>
      </w:pPr>
      <w:r>
        <w:rPr>
          <w:rFonts w:hint="eastAsia" w:ascii="仿宋_GB2312" w:eastAsia="仿宋_GB2312"/>
          <w:sz w:val="28"/>
          <w:szCs w:val="28"/>
        </w:rPr>
        <w:t>复试由外国语听力及口语测试、专业素质和能力考核、综合素质和能力考核、思想政治素质和品德考核四个部分组成。其中专业素质和能力考核内容按照已在我校研究生院网站公布的2026年硕士研究生招生复试科目考试大纲组织命题；综合素质和能力考核考生理论知识和应用技能掌握程度，利用所学理论，发现、分析和解决问题的能力，对本学科发展动态的了解以及在本专业领域发展的潜力、创新精神和创新能力；思想政治素质和品德考核的考核结果不以具体分数体现，以“合格”或“不合格”体现，考核结果“不合格”者不予录取。</w:t>
      </w:r>
    </w:p>
    <w:p w14:paraId="4D313B61">
      <w:pPr>
        <w:spacing w:line="560" w:lineRule="exact"/>
        <w:ind w:firstLine="560" w:firstLineChars="200"/>
        <w:rPr>
          <w:rFonts w:ascii="仿宋_GB2312" w:eastAsia="仿宋_GB2312"/>
          <w:sz w:val="28"/>
          <w:szCs w:val="28"/>
        </w:rPr>
      </w:pPr>
      <w:r>
        <w:rPr>
          <w:rFonts w:hint="eastAsia" w:ascii="仿宋_GB2312" w:eastAsia="仿宋_GB2312"/>
          <w:sz w:val="28"/>
          <w:szCs w:val="28"/>
        </w:rPr>
        <w:t>专业素质和能力考核以笔试的方式进行，笔试考试时长半小时，试卷满分30分。</w:t>
      </w:r>
    </w:p>
    <w:p w14:paraId="74BFE4F5">
      <w:pPr>
        <w:spacing w:line="560" w:lineRule="exact"/>
        <w:ind w:firstLine="560" w:firstLineChars="200"/>
        <w:rPr>
          <w:rFonts w:ascii="仿宋_GB2312" w:eastAsia="仿宋_GB2312"/>
          <w:sz w:val="28"/>
          <w:szCs w:val="28"/>
        </w:rPr>
      </w:pPr>
      <w:r>
        <w:rPr>
          <w:rFonts w:hint="eastAsia" w:ascii="仿宋_GB2312" w:eastAsia="仿宋_GB2312"/>
          <w:sz w:val="28"/>
          <w:szCs w:val="28"/>
        </w:rPr>
        <w:t>外国语听力及口语测试、综合素质和能力考核、思想政治素质和品德考核以面试的方式进行。</w:t>
      </w:r>
    </w:p>
    <w:p w14:paraId="00BF7A5A">
      <w:pPr>
        <w:spacing w:line="560" w:lineRule="exact"/>
        <w:ind w:firstLine="560" w:firstLineChars="200"/>
        <w:rPr>
          <w:rFonts w:ascii="仿宋_GB2312" w:eastAsia="仿宋_GB2312"/>
          <w:sz w:val="28"/>
          <w:szCs w:val="28"/>
        </w:rPr>
      </w:pPr>
      <w:r>
        <w:rPr>
          <w:rFonts w:hint="eastAsia" w:ascii="仿宋_GB2312" w:eastAsia="仿宋_GB2312"/>
          <w:sz w:val="28"/>
          <w:szCs w:val="28"/>
        </w:rPr>
        <w:t>综合面试时间由我院根据学科专业特点安排，每名考生面试总时间一般为20分钟左右，具体时间可由面试专家组根据面试情况适当调整。</w:t>
      </w:r>
    </w:p>
    <w:p w14:paraId="29FBB3E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跨学科专业复试的考生（同等学力身份报考考生除外），在复试中不加试。</w:t>
      </w:r>
    </w:p>
    <w:p w14:paraId="4CC57F2C">
      <w:pPr>
        <w:spacing w:line="560" w:lineRule="exact"/>
        <w:ind w:firstLine="560" w:firstLineChars="200"/>
        <w:rPr>
          <w:rFonts w:ascii="仿宋_GB2312" w:eastAsia="仿宋_GB2312"/>
          <w:sz w:val="28"/>
          <w:szCs w:val="28"/>
        </w:rPr>
      </w:pPr>
      <w:r>
        <w:rPr>
          <w:rFonts w:hint="eastAsia" w:ascii="仿宋_GB2312" w:eastAsia="仿宋_GB2312"/>
          <w:sz w:val="28"/>
          <w:szCs w:val="28"/>
        </w:rPr>
        <w:t>外国语听力及口语测试在复试中进行，成绩计入复试总成绩。</w:t>
      </w:r>
    </w:p>
    <w:p w14:paraId="4FACA8D4">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2.复试成绩</w:t>
      </w:r>
    </w:p>
    <w:p w14:paraId="2DD5BD42">
      <w:pPr>
        <w:spacing w:line="560" w:lineRule="exact"/>
        <w:ind w:firstLine="560" w:firstLineChars="200"/>
        <w:rPr>
          <w:rFonts w:ascii="仿宋_GB2312" w:hAnsi="Helvetica"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复试成绩总分100分，为复试各部分考核成绩按权重相加之和。包括</w:t>
      </w:r>
      <w:r>
        <w:rPr>
          <w:rFonts w:hint="eastAsia" w:ascii="仿宋_GB2312" w:eastAsia="仿宋_GB2312"/>
          <w:sz w:val="28"/>
          <w:szCs w:val="28"/>
        </w:rPr>
        <w:t>外国语听力及口语测试占</w:t>
      </w:r>
      <w:r>
        <w:rPr>
          <w:rFonts w:hint="eastAsia" w:ascii="仿宋_GB2312" w:hAnsi="黑体" w:eastAsia="仿宋_GB2312"/>
          <w:color w:val="000000" w:themeColor="text1"/>
          <w:sz w:val="28"/>
          <w:szCs w:val="28"/>
          <w14:textFill>
            <w14:solidFill>
              <w14:schemeClr w14:val="tx1"/>
            </w14:solidFill>
          </w14:textFill>
        </w:rPr>
        <w:t>10分，综合素质和能力考核占60分、专业素质和能力考核占30分。总分低于60分视为复试不合格。</w:t>
      </w:r>
    </w:p>
    <w:p w14:paraId="7BCA6A8F">
      <w:pPr>
        <w:spacing w:before="312" w:beforeLines="100" w:after="156" w:afterLines="50" w:line="560" w:lineRule="exact"/>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八、 考生复试纪律及要求</w:t>
      </w:r>
    </w:p>
    <w:p w14:paraId="1F66EB22">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我院对各专业（领域）的复试全程进行录音录像。我院认为有必要时，经市教育招生考试院同意，可以对相关考生再次复试。</w:t>
      </w:r>
    </w:p>
    <w:p w14:paraId="4A574281">
      <w:pPr>
        <w:spacing w:line="560" w:lineRule="exact"/>
        <w:ind w:firstLine="560" w:firstLineChars="200"/>
        <w:rPr>
          <w:rFonts w:ascii="仿宋_GB2312" w:eastAsia="仿宋_GB2312"/>
          <w:sz w:val="28"/>
          <w:szCs w:val="28"/>
        </w:rPr>
      </w:pPr>
      <w:r>
        <w:rPr>
          <w:rFonts w:hint="eastAsia" w:ascii="仿宋_GB2312" w:hAnsi="Times New Roman" w:eastAsia="仿宋_GB2312" w:cs="Times New Roman"/>
          <w:sz w:val="28"/>
          <w:szCs w:val="28"/>
        </w:rPr>
        <w:t>硕士研究生复试属于国家考试，包括复试过程、内容的影像声音在内的任一部分按秘密级事项管理，参加复试的考生不得对复试进行录音录像。</w:t>
      </w:r>
    </w:p>
    <w:p w14:paraId="109F2FD3">
      <w:pPr>
        <w:spacing w:line="560" w:lineRule="exact"/>
        <w:ind w:firstLine="560" w:firstLineChars="200"/>
        <w:rPr>
          <w:rFonts w:ascii="仿宋_GB2312" w:eastAsia="仿宋_GB2312"/>
          <w:sz w:val="28"/>
          <w:szCs w:val="28"/>
        </w:rPr>
      </w:pPr>
      <w:r>
        <w:rPr>
          <w:rFonts w:hint="eastAsia" w:ascii="仿宋_GB2312" w:eastAsia="仿宋_GB2312"/>
          <w:sz w:val="28"/>
          <w:szCs w:val="28"/>
        </w:rPr>
        <w:t>考生应自觉树立遵章守纪、诚信考试的意识。复试期间，考生应自觉遵守我校考场规则及考生所签署的《诚信复试承诺书》等内容，在我校复试工作结束前不得对外透露或传播复试试题内容等有关情况。对在研究生考试招生中违反考试管理规定和考场纪律，影响考试公平、公正的考生，一律按《中华人民共和国刑法》《中华人民共和国教育法》《最高人民法院 最高人民检察院关于办理组织考试作弊等刑事案件适用法律若干问题的解释》及《国家教育考试违规处理办法》（教育部令第33号）严肃处理。</w:t>
      </w:r>
    </w:p>
    <w:p w14:paraId="45FA66C7">
      <w:pPr>
        <w:spacing w:before="312" w:beforeLines="100" w:after="156" w:afterLines="50" w:line="560" w:lineRule="exact"/>
        <w:ind w:firstLine="562" w:firstLineChars="200"/>
        <w:rPr>
          <w:rFonts w:ascii="仿宋_GB2312" w:eastAsia="仿宋_GB2312"/>
          <w:sz w:val="28"/>
          <w:szCs w:val="28"/>
        </w:rPr>
      </w:pPr>
      <w:r>
        <w:rPr>
          <w:rFonts w:hint="eastAsia" w:ascii="黑体" w:hAnsi="黑体" w:eastAsia="黑体" w:cs="Times New Roman"/>
          <w:b/>
          <w:bCs/>
          <w:sz w:val="28"/>
          <w:szCs w:val="28"/>
        </w:rPr>
        <w:t>九、 调剂管理</w:t>
      </w:r>
    </w:p>
    <w:p w14:paraId="3245B1D1">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1</w:t>
      </w:r>
      <w:r>
        <w:rPr>
          <w:rFonts w:ascii="仿宋_GB2312" w:hAnsi="Times New Roman" w:eastAsia="仿宋_GB2312" w:cs="Times New Roman"/>
          <w:b/>
          <w:bCs/>
          <w:sz w:val="28"/>
          <w:szCs w:val="28"/>
        </w:rPr>
        <w:t>.</w:t>
      </w:r>
      <w:r>
        <w:rPr>
          <w:rFonts w:hint="eastAsia" w:ascii="仿宋_GB2312" w:hAnsi="Times New Roman" w:eastAsia="仿宋_GB2312" w:cs="Times New Roman"/>
          <w:b/>
          <w:bCs/>
          <w:sz w:val="28"/>
          <w:szCs w:val="28"/>
        </w:rPr>
        <w:t>调剂基本条件</w:t>
      </w:r>
    </w:p>
    <w:p w14:paraId="36C36A61">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（1）初试成绩（含加分）符合第一志愿报考专业在一区的国家分数线，并符合调入专业的报考条件。</w:t>
      </w:r>
    </w:p>
    <w:p w14:paraId="01D4E1B6">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（2）调剂</w:t>
      </w:r>
      <w:r>
        <w:rPr>
          <w:rFonts w:hint="eastAsia" w:ascii="仿宋_GB2312" w:hAnsi="Times New Roman" w:eastAsia="仿宋_GB2312"/>
          <w:color w:val="000000" w:themeColor="text1"/>
          <w:sz w:val="28"/>
          <w:szCs w:val="28"/>
          <w14:textFill>
            <w14:solidFill>
              <w14:schemeClr w14:val="tx1"/>
            </w14:solidFill>
          </w14:textFill>
        </w:rPr>
        <w:t>考生第一志愿专业与调入专业相同相近，或</w:t>
      </w:r>
      <w:r>
        <w:rPr>
          <w:rFonts w:hint="eastAsia" w:ascii="仿宋_GB2312" w:eastAsia="仿宋_GB2312"/>
          <w:color w:val="000000" w:themeColor="text1"/>
          <w:sz w:val="28"/>
          <w:szCs w:val="28"/>
          <w14:textFill>
            <w14:solidFill>
              <w14:schemeClr w14:val="tx1"/>
            </w14:solidFill>
          </w14:textFill>
        </w:rPr>
        <w:t>初试科目与调入专业初试科目相同相近。</w:t>
      </w:r>
    </w:p>
    <w:p w14:paraId="403CBB51">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经本校研究生招生委员会审定的其他要求（含考生第一志愿专业范围、初试科目、初试成绩要求等，其中初试成绩含加分），其中涉及考生第一志愿专业范围等学术要求的，须经过本校学位评定委员会或学术委员会审核同意。</w:t>
      </w:r>
    </w:p>
    <w:p w14:paraId="5EE3A7C1">
      <w:pPr>
        <w:spacing w:line="560" w:lineRule="exact"/>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（4）具体调剂条件详见我院后续公布的调剂公告</w:t>
      </w:r>
      <w:r>
        <w:rPr>
          <w:rFonts w:hint="eastAsia" w:ascii="仿宋_GB2312" w:hAnsi="黑体" w:eastAsia="仿宋_GB2312"/>
          <w:color w:val="000000" w:themeColor="text1"/>
          <w:sz w:val="28"/>
          <w:szCs w:val="28"/>
          <w14:textFill>
            <w14:solidFill>
              <w14:schemeClr w14:val="tx1"/>
            </w14:solidFill>
          </w14:textFill>
        </w:rPr>
        <w:t>。</w:t>
      </w:r>
    </w:p>
    <w:p w14:paraId="5EA7907F">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2</w:t>
      </w:r>
      <w:r>
        <w:rPr>
          <w:rFonts w:ascii="仿宋_GB2312" w:hAnsi="Times New Roman" w:eastAsia="仿宋_GB2312" w:cs="Times New Roman"/>
          <w:b/>
          <w:bCs/>
          <w:sz w:val="28"/>
          <w:szCs w:val="28"/>
        </w:rPr>
        <w:t>.</w:t>
      </w:r>
      <w:r>
        <w:rPr>
          <w:rFonts w:hint="eastAsia" w:ascii="仿宋_GB2312" w:hAnsi="Times New Roman" w:eastAsia="仿宋_GB2312" w:cs="Times New Roman"/>
          <w:b/>
          <w:bCs/>
          <w:sz w:val="28"/>
          <w:szCs w:val="28"/>
        </w:rPr>
        <w:t>调剂要求</w:t>
      </w:r>
    </w:p>
    <w:p w14:paraId="5D5F52DE">
      <w:pPr>
        <w:spacing w:line="560" w:lineRule="exact"/>
        <w:ind w:firstLine="560" w:firstLineChars="200"/>
        <w:rPr>
          <w:rFonts w:ascii="仿宋_GB2312" w:eastAsia="仿宋_GB2312"/>
          <w:sz w:val="28"/>
          <w:szCs w:val="28"/>
        </w:rPr>
      </w:pPr>
      <w:r>
        <w:rPr>
          <w:rFonts w:hint="eastAsia" w:ascii="仿宋_GB2312" w:eastAsia="仿宋_GB2312"/>
          <w:sz w:val="28"/>
          <w:szCs w:val="28"/>
        </w:rPr>
        <w:t>（1）所有调剂考生（含报考“退役大学生士兵计划”与普通计划之间调剂的考生等）必须通过教育部“全国硕士生招生复试调剂服务系统”（以下简称“调剂系统”）进行。</w:t>
      </w:r>
      <w:r>
        <w:rPr>
          <w:rFonts w:hint="eastAsia" w:ascii="仿宋_GB2312" w:hAnsi="Times New Roman" w:eastAsia="仿宋_GB2312"/>
          <w:sz w:val="28"/>
          <w:szCs w:val="28"/>
        </w:rPr>
        <w:t>调剂工作由我校研招办归口管理并统一办理相关手续。</w:t>
      </w:r>
    </w:p>
    <w:p w14:paraId="2CFAFCB8">
      <w:pPr>
        <w:spacing w:line="560" w:lineRule="exact"/>
        <w:ind w:firstLine="560" w:firstLineChars="200"/>
        <w:rPr>
          <w:rFonts w:ascii="仿宋_GB2312" w:eastAsia="仿宋_GB2312"/>
          <w:sz w:val="28"/>
          <w:szCs w:val="28"/>
        </w:rPr>
      </w:pPr>
      <w:r>
        <w:rPr>
          <w:rFonts w:hint="eastAsia" w:ascii="仿宋_GB2312" w:eastAsia="仿宋_GB2312"/>
          <w:sz w:val="28"/>
          <w:szCs w:val="28"/>
        </w:rPr>
        <w:t>（2）调剂系统开放时间、调剂志愿锁定时间由我校统一设定，每次开放调剂系统持续时间不低于12个小时，考生调剂志愿锁定时间最长不超过24小时。</w:t>
      </w:r>
    </w:p>
    <w:p w14:paraId="33BDF22A">
      <w:pPr>
        <w:spacing w:line="560" w:lineRule="exact"/>
        <w:ind w:firstLine="560" w:firstLineChars="200"/>
        <w:rPr>
          <w:rFonts w:ascii="仿宋_GB2312" w:eastAsia="仿宋_GB2312"/>
          <w:sz w:val="28"/>
          <w:szCs w:val="28"/>
        </w:rPr>
      </w:pPr>
      <w:r>
        <w:rPr>
          <w:rFonts w:hint="eastAsia" w:ascii="仿宋_GB2312" w:eastAsia="仿宋_GB2312"/>
          <w:sz w:val="28"/>
          <w:szCs w:val="28"/>
        </w:rPr>
        <w:t>（3）调剂系统开放前我院将在网站提前公布开放时间和开放时长。</w:t>
      </w:r>
    </w:p>
    <w:p w14:paraId="323904CA">
      <w:pPr>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）我院只接收外国语为英语的考生。</w:t>
      </w:r>
    </w:p>
    <w:p w14:paraId="3CF6A04E">
      <w:pPr>
        <w:spacing w:line="560" w:lineRule="exact"/>
        <w:ind w:firstLine="560" w:firstLineChars="200"/>
        <w:rPr>
          <w:rFonts w:hint="eastAsia" w:ascii="仿宋_GB2312" w:eastAsia="仿宋_GB2312"/>
          <w:sz w:val="28"/>
          <w:szCs w:val="28"/>
        </w:rPr>
      </w:pPr>
      <w:r>
        <w:rPr>
          <w:rFonts w:hint="eastAsia" w:ascii="仿宋_GB2312" w:hAnsi="Times New Roman" w:eastAsia="仿宋_GB2312" w:cs="Times New Roman"/>
          <w:sz w:val="28"/>
          <w:szCs w:val="28"/>
        </w:rPr>
        <w:t>（5）考生在照顾专业与非照顾专业之间调剂，其初试成绩均须符合一区第一志愿报考专业所在学科门类的非照顾专业国家分数线。考生在工学照顾专业之间，教育学照顾专业之间调剂，按本类照顾专业国家分数线执行。</w:t>
      </w:r>
    </w:p>
    <w:p w14:paraId="50798D60">
      <w:pPr>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6</w:t>
      </w:r>
      <w:r>
        <w:rPr>
          <w:rFonts w:hint="eastAsia" w:ascii="仿宋_GB2312" w:eastAsia="仿宋_GB2312"/>
          <w:sz w:val="28"/>
          <w:szCs w:val="28"/>
        </w:rPr>
        <w:t>）报考“退役大学生士兵计划”的考生，申请调剂至普通计划，按照调剂的程序和相关要求进行，须与同批次申请调剂的考生一起按照我校相关要求、规则进行排名，择优进入复试。</w:t>
      </w:r>
    </w:p>
    <w:p w14:paraId="62318D77">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ascii="仿宋_GB2312" w:hAnsi="Times New Roman" w:eastAsia="仿宋_GB2312" w:cs="Times New Roman"/>
          <w:sz w:val="28"/>
          <w:szCs w:val="28"/>
        </w:rPr>
        <w:t>7</w:t>
      </w:r>
      <w:r>
        <w:rPr>
          <w:rFonts w:hint="eastAsia" w:ascii="仿宋_GB2312" w:hAnsi="Times New Roman" w:eastAsia="仿宋_GB2312" w:cs="Times New Roman"/>
          <w:sz w:val="28"/>
          <w:szCs w:val="28"/>
        </w:rPr>
        <w:t>）报考“少数民族高层次骨干人才计划”的考生不得调剂到该专项计划以外；未报考的不得调剂到该专项计划。</w:t>
      </w:r>
    </w:p>
    <w:p w14:paraId="220CF628">
      <w:pPr>
        <w:spacing w:line="560" w:lineRule="exact"/>
        <w:ind w:firstLine="560" w:firstLineChars="200"/>
        <w:rPr>
          <w:rFonts w:ascii="仿宋_GB2312" w:hAnsi="Times New Roman" w:eastAsia="仿宋_GB2312" w:cs="Times New Roman"/>
          <w:sz w:val="28"/>
          <w:szCs w:val="28"/>
        </w:rPr>
      </w:pPr>
      <w:r>
        <w:rPr>
          <w:rFonts w:hint="eastAsia" w:ascii="仿宋_GB2312" w:eastAsia="仿宋_GB2312"/>
          <w:sz w:val="28"/>
          <w:szCs w:val="28"/>
        </w:rPr>
        <w:t>（</w:t>
      </w:r>
      <w:r>
        <w:rPr>
          <w:rFonts w:ascii="仿宋_GB2312" w:eastAsia="仿宋_GB2312"/>
          <w:sz w:val="28"/>
          <w:szCs w:val="28"/>
        </w:rPr>
        <w:t>8</w:t>
      </w:r>
      <w:r>
        <w:rPr>
          <w:rFonts w:hint="eastAsia" w:ascii="仿宋_GB2312" w:eastAsia="仿宋_GB2312"/>
          <w:sz w:val="28"/>
          <w:szCs w:val="28"/>
        </w:rPr>
        <w:t>）</w:t>
      </w:r>
      <w:r>
        <w:rPr>
          <w:rFonts w:hint="eastAsia" w:ascii="仿宋_GB2312" w:hAnsi="Times New Roman" w:eastAsia="仿宋_GB2312" w:cs="Times New Roman"/>
          <w:sz w:val="28"/>
          <w:szCs w:val="28"/>
        </w:rPr>
        <w:t>调剂考生选拔的解释工作由我院负责，我院将及时解答考生咨询，保证信息沟通畅通。</w:t>
      </w:r>
    </w:p>
    <w:p w14:paraId="664C33E5">
      <w:pPr>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9</w:t>
      </w:r>
      <w:r>
        <w:rPr>
          <w:rFonts w:hint="eastAsia" w:ascii="仿宋_GB2312" w:eastAsia="仿宋_GB2312"/>
          <w:sz w:val="28"/>
          <w:szCs w:val="28"/>
        </w:rPr>
        <w:t>）考生应密切关注调剂服务系统内的通知，并在规定时间内完成复试通知、待录取通知确认等操作。</w:t>
      </w:r>
    </w:p>
    <w:p w14:paraId="146FD074">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ascii="仿宋_GB2312" w:hAnsi="Times New Roman" w:eastAsia="仿宋_GB2312" w:cs="Times New Roman"/>
          <w:sz w:val="28"/>
          <w:szCs w:val="28"/>
        </w:rPr>
        <w:t>10</w:t>
      </w:r>
      <w:r>
        <w:rPr>
          <w:rFonts w:hint="eastAsia" w:ascii="仿宋_GB2312" w:hAnsi="Times New Roman" w:eastAsia="仿宋_GB2312" w:cs="Times New Roman"/>
          <w:sz w:val="28"/>
          <w:szCs w:val="28"/>
        </w:rPr>
        <w:t>）第一批调剂考生复试后仍有缺额的专业将继续调剂，考生须及时关注调剂服务系统缺额情况和我院网站通知。</w:t>
      </w:r>
    </w:p>
    <w:p w14:paraId="209CBA13">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3</w:t>
      </w:r>
      <w:r>
        <w:rPr>
          <w:rFonts w:ascii="仿宋_GB2312" w:hAnsi="Times New Roman" w:eastAsia="仿宋_GB2312" w:cs="Times New Roman"/>
          <w:b/>
          <w:bCs/>
          <w:sz w:val="28"/>
          <w:szCs w:val="28"/>
        </w:rPr>
        <w:t>.</w:t>
      </w:r>
      <w:r>
        <w:rPr>
          <w:rFonts w:hint="eastAsia" w:ascii="仿宋_GB2312" w:hAnsi="Times New Roman" w:eastAsia="仿宋_GB2312" w:cs="Times New Roman"/>
          <w:b/>
          <w:bCs/>
          <w:sz w:val="28"/>
          <w:szCs w:val="28"/>
        </w:rPr>
        <w:t>调剂程序</w:t>
      </w:r>
    </w:p>
    <w:p w14:paraId="379B2CC4">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申请调剂转入的考生凭用户名和密码进入“中国研究生招生信息网”（http://yz.chsi.com.cn）“研招调剂系统”，依据我院公布的生源余缺信息，参照调剂服务系统流程提交调剂申请，我院将及时审核考生信息，发送复试通知并通知考生及时确认，考生接收复试通知方可参加复试。</w:t>
      </w:r>
    </w:p>
    <w:p w14:paraId="57112814">
      <w:pPr>
        <w:spacing w:before="312" w:beforeLines="100" w:after="156" w:afterLines="50" w:line="560" w:lineRule="exact"/>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十、 录取管理</w:t>
      </w:r>
    </w:p>
    <w:p w14:paraId="483B6F0B">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ascii="仿宋_GB2312" w:hAnsi="Times New Roman" w:eastAsia="仿宋_GB2312" w:cs="Times New Roman"/>
          <w:b/>
          <w:bCs/>
          <w:sz w:val="28"/>
          <w:szCs w:val="28"/>
        </w:rPr>
        <w:t>1.</w:t>
      </w:r>
      <w:r>
        <w:rPr>
          <w:rFonts w:hint="eastAsia" w:ascii="仿宋_GB2312" w:hAnsi="Times New Roman" w:eastAsia="仿宋_GB2312" w:cs="Times New Roman"/>
          <w:b/>
          <w:bCs/>
          <w:sz w:val="28"/>
          <w:szCs w:val="28"/>
        </w:rPr>
        <w:t>录取总成绩计算</w:t>
      </w:r>
    </w:p>
    <w:p w14:paraId="2B1FC26D">
      <w:pPr>
        <w:spacing w:line="560" w:lineRule="exact"/>
        <w:ind w:firstLine="560" w:firstLineChars="200"/>
        <w:rPr>
          <w:rFonts w:ascii="仿宋_GB2312" w:eastAsia="仿宋_GB2312"/>
          <w:sz w:val="28"/>
          <w:szCs w:val="28"/>
        </w:rPr>
      </w:pPr>
      <w:r>
        <w:rPr>
          <w:rFonts w:hint="eastAsia" w:ascii="仿宋_GB2312" w:eastAsia="仿宋_GB2312"/>
          <w:sz w:val="28"/>
          <w:szCs w:val="28"/>
        </w:rPr>
        <w:t>初试成绩占总成绩的权重为60%，复试成绩占总成绩的权重为40%。总成绩保留两位小数。</w:t>
      </w:r>
    </w:p>
    <w:p w14:paraId="7C72A9BC">
      <w:pPr>
        <w:spacing w:line="560" w:lineRule="exact"/>
        <w:ind w:firstLine="560" w:firstLineChars="200"/>
        <w:rPr>
          <w:rFonts w:ascii="仿宋_GB2312" w:eastAsia="仿宋_GB2312"/>
          <w:sz w:val="28"/>
          <w:szCs w:val="28"/>
        </w:rPr>
      </w:pPr>
      <w:r>
        <w:rPr>
          <w:rFonts w:hint="eastAsia" w:ascii="仿宋_GB2312" w:eastAsia="仿宋_GB2312"/>
          <w:sz w:val="28"/>
          <w:szCs w:val="28"/>
        </w:rPr>
        <w:t>初试总分为500 分的专业，考生录取总成绩计算公式为：</w:t>
      </w:r>
    </w:p>
    <w:p w14:paraId="55E67ED7">
      <w:pPr>
        <w:spacing w:line="560" w:lineRule="exact"/>
        <w:ind w:firstLine="560" w:firstLineChars="200"/>
        <w:rPr>
          <w:rFonts w:ascii="仿宋_GB2312" w:eastAsia="仿宋_GB2312"/>
          <w:sz w:val="28"/>
          <w:szCs w:val="28"/>
        </w:rPr>
      </w:pPr>
      <w:r>
        <w:rPr>
          <w:rFonts w:hint="eastAsia" w:ascii="仿宋_GB2312" w:eastAsia="仿宋_GB2312"/>
          <w:sz w:val="28"/>
          <w:szCs w:val="28"/>
        </w:rPr>
        <w:t>总成绩=（初试成绩÷5）×60%+复试成绩×40%。</w:t>
      </w:r>
    </w:p>
    <w:p w14:paraId="069CED87">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ascii="仿宋_GB2312" w:hAnsi="Times New Roman" w:eastAsia="仿宋_GB2312" w:cs="Times New Roman"/>
          <w:b/>
          <w:bCs/>
          <w:sz w:val="28"/>
          <w:szCs w:val="28"/>
        </w:rPr>
        <w:t>2.</w:t>
      </w:r>
      <w:r>
        <w:rPr>
          <w:rFonts w:hint="eastAsia" w:ascii="仿宋_GB2312" w:hAnsi="Times New Roman" w:eastAsia="仿宋_GB2312" w:cs="Times New Roman"/>
          <w:b/>
          <w:bCs/>
          <w:sz w:val="28"/>
          <w:szCs w:val="28"/>
        </w:rPr>
        <w:t>录取规则</w:t>
      </w:r>
    </w:p>
    <w:p w14:paraId="5A890DE6">
      <w:pPr>
        <w:spacing w:line="560" w:lineRule="exact"/>
        <w:ind w:firstLine="560" w:firstLineChars="200"/>
        <w:rPr>
          <w:rFonts w:ascii="仿宋_GB2312" w:eastAsia="仿宋_GB2312"/>
          <w:sz w:val="28"/>
          <w:szCs w:val="28"/>
        </w:rPr>
      </w:pPr>
      <w:r>
        <w:rPr>
          <w:rFonts w:hint="eastAsia" w:ascii="仿宋_GB2312" w:eastAsia="仿宋_GB2312"/>
          <w:sz w:val="28"/>
          <w:szCs w:val="28"/>
        </w:rPr>
        <w:t>各学科专业第一志愿考生与调剂考生分别排序，先录取第一志愿考生，后录取调剂考生。调剂考生按复试批次，分批次排名，分批次录取。</w:t>
      </w:r>
    </w:p>
    <w:p w14:paraId="4D510B57">
      <w:pPr>
        <w:spacing w:line="560" w:lineRule="exact"/>
        <w:ind w:firstLine="560" w:firstLineChars="200"/>
        <w:rPr>
          <w:rFonts w:ascii="仿宋_GB2312" w:eastAsia="仿宋_GB2312"/>
          <w:sz w:val="28"/>
          <w:szCs w:val="28"/>
        </w:rPr>
      </w:pPr>
      <w:r>
        <w:rPr>
          <w:rFonts w:hint="eastAsia" w:ascii="仿宋_GB2312" w:eastAsia="仿宋_GB2312"/>
          <w:sz w:val="28"/>
          <w:szCs w:val="28"/>
        </w:rPr>
        <w:t>考生按总成绩排序优先录取。在总成绩相同情形下，依次比较如下成绩项：复试成绩总分，初试成绩总分，初试业务课二成绩，初试业务课一成绩，初试外国语科成绩。若考生初试外国语科成绩仍相同，由我院研究生招生工作领导小组讨论，形成关于上述考生排名的书面意见，报请学校研究生招生委员会审议。</w:t>
      </w:r>
    </w:p>
    <w:p w14:paraId="392CE465">
      <w:pPr>
        <w:spacing w:line="560" w:lineRule="exact"/>
        <w:ind w:firstLine="560" w:firstLineChars="200"/>
        <w:rPr>
          <w:rFonts w:ascii="仿宋_GB2312" w:eastAsia="仿宋_GB2312"/>
          <w:sz w:val="28"/>
          <w:szCs w:val="28"/>
        </w:rPr>
      </w:pPr>
      <w:r>
        <w:rPr>
          <w:rFonts w:hint="eastAsia" w:ascii="仿宋_GB2312" w:eastAsia="仿宋_GB2312"/>
          <w:sz w:val="28"/>
          <w:szCs w:val="28"/>
        </w:rPr>
        <w:t>“退役大学生士兵计划”同等条件下服役时间长的考生优先录取。对于获得“中国国际大学生创新大赛”国赛银奖及以上、“天开杯”创聚津门全国大学生智能科技创新创业挑战赛一等奖及以上等在科研创新方面具有突出表现的考生，第一志愿报考我校硕士研究生的，进入复试后，考生提出申请的，在总成绩相同的情况下予以优先录取。</w:t>
      </w:r>
    </w:p>
    <w:p w14:paraId="0A42BDBA">
      <w:pPr>
        <w:spacing w:line="560" w:lineRule="exact"/>
        <w:ind w:firstLine="560" w:firstLineChars="200"/>
        <w:rPr>
          <w:rFonts w:ascii="仿宋_GB2312" w:eastAsia="仿宋_GB2312"/>
          <w:b/>
          <w:bCs/>
          <w:sz w:val="28"/>
          <w:szCs w:val="28"/>
        </w:rPr>
      </w:pPr>
      <w:r>
        <w:rPr>
          <w:rFonts w:hint="eastAsia" w:ascii="仿宋_GB2312" w:eastAsia="仿宋_GB2312"/>
          <w:sz w:val="28"/>
          <w:szCs w:val="28"/>
        </w:rPr>
        <w:t>复试工作完成后，我院确定拟录取名单后，报学校研究生招生委员会审定。拟录取考生名单（包括考生姓名、考生编号、初试成绩、复试成绩、总成绩等信息）在</w:t>
      </w:r>
      <w:bookmarkStart w:id="1" w:name="OLE_LINK5"/>
      <w:r>
        <w:rPr>
          <w:rFonts w:hint="eastAsia" w:ascii="仿宋_GB2312" w:eastAsia="仿宋_GB2312"/>
          <w:sz w:val="28"/>
          <w:szCs w:val="28"/>
        </w:rPr>
        <w:t>我</w:t>
      </w:r>
      <w:bookmarkEnd w:id="1"/>
      <w:r>
        <w:rPr>
          <w:rFonts w:hint="eastAsia" w:ascii="仿宋_GB2312" w:eastAsia="仿宋_GB2312"/>
          <w:sz w:val="28"/>
          <w:szCs w:val="28"/>
        </w:rPr>
        <w:t>院网站公示7日。对报考专项计划、享受初试加分或照顾政策的考生相关情况，在公布考生名单时进行说明。公示期间名单不得修改；名单如有变动，须对变动部分作出说明，并对变动内容另行公示7日。</w:t>
      </w:r>
    </w:p>
    <w:p w14:paraId="3D75438A">
      <w:pPr>
        <w:spacing w:before="156" w:beforeLines="50" w:after="156" w:afterLines="50" w:line="560" w:lineRule="exact"/>
        <w:ind w:firstLine="562" w:firstLineChars="200"/>
        <w:rPr>
          <w:rFonts w:ascii="仿宋_GB2312" w:hAnsi="Times New Roman" w:eastAsia="仿宋_GB2312" w:cs="Times New Roman"/>
          <w:b/>
          <w:bCs/>
          <w:sz w:val="28"/>
          <w:szCs w:val="28"/>
        </w:rPr>
      </w:pPr>
      <w:r>
        <w:rPr>
          <w:rFonts w:ascii="仿宋_GB2312" w:hAnsi="Times New Roman" w:eastAsia="仿宋_GB2312" w:cs="Times New Roman"/>
          <w:b/>
          <w:bCs/>
          <w:sz w:val="28"/>
          <w:szCs w:val="28"/>
        </w:rPr>
        <w:t>3.</w:t>
      </w:r>
      <w:r>
        <w:rPr>
          <w:rFonts w:hint="eastAsia" w:ascii="仿宋_GB2312" w:hAnsi="Times New Roman" w:eastAsia="仿宋_GB2312" w:cs="Times New Roman"/>
          <w:b/>
          <w:bCs/>
          <w:sz w:val="28"/>
          <w:szCs w:val="28"/>
        </w:rPr>
        <w:t>不予录取或录取资格无效的情况</w:t>
      </w:r>
    </w:p>
    <w:p w14:paraId="56ACDD19">
      <w:pPr>
        <w:spacing w:line="560" w:lineRule="exact"/>
        <w:ind w:firstLine="560" w:firstLineChars="200"/>
        <w:rPr>
          <w:rFonts w:ascii="仿宋_GB2312" w:eastAsia="仿宋_GB2312"/>
          <w:b/>
          <w:bCs/>
          <w:sz w:val="28"/>
          <w:szCs w:val="28"/>
        </w:rPr>
      </w:pPr>
      <w:r>
        <w:rPr>
          <w:rFonts w:hint="eastAsia" w:ascii="仿宋_GB2312" w:eastAsia="仿宋_GB2312"/>
          <w:sz w:val="28"/>
          <w:szCs w:val="28"/>
        </w:rPr>
        <w:t>（1）未经复试的考生不予录取。</w:t>
      </w:r>
    </w:p>
    <w:p w14:paraId="40AAEB5D">
      <w:pPr>
        <w:spacing w:line="560" w:lineRule="exact"/>
        <w:ind w:firstLine="560" w:firstLineChars="200"/>
        <w:rPr>
          <w:rFonts w:ascii="仿宋_GB2312" w:eastAsia="仿宋_GB2312"/>
          <w:b/>
          <w:bCs/>
          <w:sz w:val="28"/>
          <w:szCs w:val="28"/>
        </w:rPr>
      </w:pPr>
      <w:r>
        <w:rPr>
          <w:rFonts w:hint="eastAsia" w:ascii="仿宋_GB2312" w:eastAsia="仿宋_GB2312"/>
          <w:sz w:val="28"/>
          <w:szCs w:val="28"/>
        </w:rPr>
        <w:t>（2）经考生确认的报考信息在录取阶段一律不作修改，对报考资格不符合规定者不予录取。未通过或未完成学历（学籍）审核的考生不得列入拟录取名单公示或上报。</w:t>
      </w:r>
    </w:p>
    <w:p w14:paraId="78141C1C">
      <w:pPr>
        <w:spacing w:line="560" w:lineRule="exact"/>
        <w:ind w:firstLine="560" w:firstLineChars="200"/>
        <w:rPr>
          <w:rFonts w:ascii="仿宋_GB2312" w:eastAsia="仿宋_GB2312"/>
          <w:sz w:val="28"/>
          <w:szCs w:val="28"/>
        </w:rPr>
      </w:pPr>
      <w:r>
        <w:rPr>
          <w:rFonts w:hint="eastAsia" w:ascii="仿宋_GB2312" w:eastAsia="仿宋_GB2312"/>
          <w:sz w:val="28"/>
          <w:szCs w:val="28"/>
        </w:rPr>
        <w:t>（3）复试成绩（百分制）低于60分为复试不合格，不予录取。</w:t>
      </w:r>
    </w:p>
    <w:p w14:paraId="36874965">
      <w:pPr>
        <w:spacing w:line="560" w:lineRule="exact"/>
        <w:ind w:firstLine="560" w:firstLineChars="200"/>
        <w:rPr>
          <w:rFonts w:ascii="仿宋_GB2312" w:eastAsia="仿宋_GB2312"/>
          <w:b/>
          <w:bCs/>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）同等学力考生加试课程的成绩不计入复试成绩，加试课程成绩（百分制）低于60分为不合格，不予录取。</w:t>
      </w:r>
    </w:p>
    <w:p w14:paraId="7F177ED4">
      <w:pPr>
        <w:spacing w:line="560" w:lineRule="exact"/>
        <w:ind w:firstLine="560" w:firstLineChars="200"/>
        <w:rPr>
          <w:rFonts w:ascii="仿宋_GB2312" w:eastAsia="仿宋_GB2312"/>
          <w:b/>
          <w:bCs/>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）思想政治素质和品德考核结果不合格者，不予录取。</w:t>
      </w:r>
    </w:p>
    <w:p w14:paraId="436994BC">
      <w:pPr>
        <w:spacing w:line="560" w:lineRule="exact"/>
        <w:ind w:firstLine="560" w:firstLineChars="200"/>
        <w:rPr>
          <w:rFonts w:ascii="仿宋_GB2312" w:eastAsia="仿宋_GB2312"/>
          <w:b/>
          <w:bCs/>
          <w:sz w:val="28"/>
          <w:szCs w:val="28"/>
        </w:rPr>
      </w:pPr>
      <w:r>
        <w:rPr>
          <w:rFonts w:hint="eastAsia" w:ascii="仿宋_GB2312" w:eastAsia="仿宋_GB2312"/>
          <w:sz w:val="28"/>
          <w:szCs w:val="28"/>
        </w:rPr>
        <w:t>（</w:t>
      </w:r>
      <w:r>
        <w:rPr>
          <w:rFonts w:ascii="仿宋_GB2312" w:eastAsia="仿宋_GB2312"/>
          <w:sz w:val="28"/>
          <w:szCs w:val="28"/>
        </w:rPr>
        <w:t>6</w:t>
      </w:r>
      <w:r>
        <w:rPr>
          <w:rFonts w:hint="eastAsia" w:ascii="仿宋_GB2312" w:eastAsia="仿宋_GB2312"/>
          <w:sz w:val="28"/>
          <w:szCs w:val="28"/>
        </w:rPr>
        <w:t>）未经我院公示的考生，不予录取。</w:t>
      </w:r>
    </w:p>
    <w:p w14:paraId="447BC4BE">
      <w:pPr>
        <w:spacing w:line="560" w:lineRule="exact"/>
        <w:ind w:firstLine="560" w:firstLineChars="200"/>
        <w:rPr>
          <w:rFonts w:ascii="仿宋_GB2312" w:eastAsia="仿宋_GB2312"/>
          <w:b/>
          <w:bCs/>
          <w:sz w:val="28"/>
          <w:szCs w:val="28"/>
        </w:rPr>
      </w:pPr>
      <w:r>
        <w:rPr>
          <w:rFonts w:hint="eastAsia" w:ascii="仿宋_GB2312" w:eastAsia="仿宋_GB2312"/>
          <w:sz w:val="28"/>
          <w:szCs w:val="28"/>
        </w:rPr>
        <w:t>（</w:t>
      </w:r>
      <w:r>
        <w:rPr>
          <w:rFonts w:ascii="仿宋_GB2312" w:eastAsia="仿宋_GB2312"/>
          <w:sz w:val="28"/>
          <w:szCs w:val="28"/>
        </w:rPr>
        <w:t>7</w:t>
      </w:r>
      <w:r>
        <w:rPr>
          <w:rFonts w:hint="eastAsia" w:ascii="仿宋_GB2312" w:eastAsia="仿宋_GB2312"/>
          <w:sz w:val="28"/>
          <w:szCs w:val="28"/>
        </w:rPr>
        <w:t>）应届本科毕业生及自学考试和网络教育届时可毕业本科生考生，2026年9月1日前未取得国家承认的国（境）内高校本科毕业证书或教育部留学服务中心出具的《国（境）外学历学位认证书》，录取资格无效。</w:t>
      </w:r>
    </w:p>
    <w:p w14:paraId="5B377BB2">
      <w:pPr>
        <w:spacing w:line="560" w:lineRule="exact"/>
        <w:ind w:firstLine="560" w:firstLineChars="200"/>
        <w:rPr>
          <w:rFonts w:ascii="仿宋_GB2312" w:hAnsi="黑体" w:eastAsia="仿宋_GB2312"/>
          <w:bCs/>
          <w:sz w:val="28"/>
          <w:szCs w:val="28"/>
        </w:rPr>
      </w:pPr>
      <w:r>
        <w:rPr>
          <w:rFonts w:ascii="仿宋_GB2312" w:hAnsi="黑体" w:eastAsia="仿宋_GB2312"/>
          <w:bCs/>
          <w:sz w:val="28"/>
          <w:szCs w:val="28"/>
        </w:rPr>
        <w:t>4.</w:t>
      </w:r>
      <w:r>
        <w:rPr>
          <w:rFonts w:hint="eastAsia" w:ascii="仿宋_GB2312" w:hAnsi="黑体" w:eastAsia="仿宋_GB2312"/>
          <w:bCs/>
          <w:sz w:val="28"/>
          <w:szCs w:val="28"/>
        </w:rPr>
        <w:t>考生一旦“确认拟录取”则视为同意被我校拟录取，考生不得以任何理由提出取消拟录取资格。</w:t>
      </w:r>
    </w:p>
    <w:p w14:paraId="7A915139">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5</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根据《普通高等学校学生管理规定》，我校在新生入学后3个月内按照国家招生规定对所有考生进行复查。复查中发现存在弄虚作假、徇私舞弊等情形的，确定为复查不合格，取消学籍；情节严重的，移交有关部门调查处理。</w:t>
      </w:r>
    </w:p>
    <w:p w14:paraId="33E5F7B0">
      <w:pPr>
        <w:spacing w:before="312" w:beforeLines="100" w:after="156" w:afterLines="50" w:line="560" w:lineRule="exact"/>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十一、 体检</w:t>
      </w:r>
    </w:p>
    <w:p w14:paraId="185BD7B5">
      <w:pPr>
        <w:spacing w:line="560" w:lineRule="exact"/>
        <w:ind w:firstLine="560" w:firstLineChars="200"/>
        <w:rPr>
          <w:rFonts w:ascii="仿宋_GB2312" w:eastAsia="仿宋_GB2312"/>
          <w:sz w:val="28"/>
          <w:szCs w:val="28"/>
        </w:rPr>
      </w:pPr>
      <w:r>
        <w:rPr>
          <w:rFonts w:hint="eastAsia" w:ascii="仿宋_GB2312" w:eastAsia="仿宋_GB2312"/>
          <w:sz w:val="28"/>
          <w:szCs w:val="28"/>
        </w:rPr>
        <w:t>拟录取考生于入学报到后，按照我校相关安排，统一进行体检。我校根据《</w:t>
      </w:r>
      <w:r>
        <w:rPr>
          <w:rFonts w:hint="eastAsia" w:ascii="仿宋_GB2312" w:eastAsia="仿宋_GB2312"/>
          <w:color w:val="000000" w:themeColor="text1"/>
          <w:sz w:val="28"/>
          <w:szCs w:val="28"/>
          <w14:textFill>
            <w14:solidFill>
              <w14:schemeClr w14:val="tx1"/>
            </w14:solidFill>
          </w14:textFill>
        </w:rPr>
        <w:t>中华人民</w:t>
      </w:r>
      <w:r>
        <w:rPr>
          <w:rFonts w:hint="eastAsia" w:ascii="仿宋_GB2312" w:eastAsia="仿宋_GB2312"/>
          <w:sz w:val="28"/>
          <w:szCs w:val="28"/>
        </w:rPr>
        <w:t>共和国残疾人教育条例》和《教育部办公厅 卫生部办公厅关于普通高等学校招生学生入学身体检查取消乙肝项目检测有关问题的通知》（教学厅〔2010〕2号）等文件规定，参照《教育部 卫生部 中国残疾人联合会关于印发&lt;普通高等学校招生体检工作指导意见&gt;的通知》（教学〔2003〕3号）要求，并结合招生专业实际情况，确定体检要求。</w:t>
      </w:r>
    </w:p>
    <w:p w14:paraId="166EFA25">
      <w:pPr>
        <w:spacing w:before="312" w:beforeLines="100" w:after="156" w:afterLines="50" w:line="560" w:lineRule="exact"/>
        <w:ind w:firstLine="562" w:firstLineChars="200"/>
        <w:rPr>
          <w:rFonts w:ascii="黑体" w:hAnsi="黑体" w:eastAsia="黑体" w:cs="Times New Roman"/>
          <w:b/>
          <w:bCs/>
          <w:sz w:val="28"/>
          <w:szCs w:val="28"/>
        </w:rPr>
      </w:pPr>
      <w:r>
        <w:rPr>
          <w:rFonts w:hint="eastAsia" w:ascii="黑体" w:hAnsi="黑体" w:eastAsia="黑体" w:cs="Times New Roman"/>
          <w:b/>
          <w:bCs/>
          <w:sz w:val="28"/>
          <w:szCs w:val="28"/>
        </w:rPr>
        <w:t>十二、监督</w:t>
      </w:r>
    </w:p>
    <w:p w14:paraId="3A7F2A8B">
      <w:pPr>
        <w:spacing w:line="560" w:lineRule="exact"/>
        <w:ind w:firstLine="560" w:firstLineChars="200"/>
        <w:rPr>
          <w:rFonts w:ascii="仿宋_GB2312" w:hAnsi="Calibri" w:eastAsia="仿宋_GB2312" w:cs="Calibri"/>
          <w:sz w:val="28"/>
          <w:szCs w:val="28"/>
        </w:rPr>
      </w:pPr>
      <w:r>
        <w:rPr>
          <w:rFonts w:hint="eastAsia" w:ascii="仿宋_GB2312" w:eastAsia="仿宋_GB2312"/>
          <w:sz w:val="28"/>
          <w:szCs w:val="28"/>
        </w:rPr>
        <w:t>我校硕士研究生招生复试录取工作在纪检监察部门的监督下进行。学校和我院监督检查组对复试录取工作进行全面监督检查。考生可通过电话或信函向我校研招办、纪检监察等部门反映有关情况。</w:t>
      </w:r>
    </w:p>
    <w:p w14:paraId="3B8FECD0">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学院招生咨询电话：022-83955160</w:t>
      </w:r>
    </w:p>
    <w:p w14:paraId="1B7CCAFF">
      <w:pPr>
        <w:spacing w:line="560" w:lineRule="exact"/>
        <w:ind w:firstLine="560" w:firstLineChars="200"/>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学校举报投诉电话：022-8395501</w:t>
      </w:r>
      <w:r>
        <w:rPr>
          <w:rFonts w:ascii="仿宋_GB2312" w:eastAsia="仿宋_GB2312"/>
          <w:color w:val="000000" w:themeColor="text1"/>
          <w:sz w:val="28"/>
          <w:szCs w:val="28"/>
          <w14:textFill>
            <w14:solidFill>
              <w14:schemeClr w14:val="tx1"/>
            </w14:solidFill>
          </w14:textFill>
        </w:rPr>
        <w:t>0</w:t>
      </w:r>
    </w:p>
    <w:p w14:paraId="1D844D8A">
      <w:pPr>
        <w:spacing w:line="560" w:lineRule="exact"/>
        <w:ind w:firstLine="560" w:firstLineChars="200"/>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学院研招办公地址：艺术学院B328</w:t>
      </w:r>
    </w:p>
    <w:p w14:paraId="779F63BF">
      <w:pPr>
        <w:spacing w:line="560" w:lineRule="exact"/>
        <w:ind w:firstLine="560" w:firstLineChars="200"/>
        <w:rPr>
          <w:rFonts w:ascii="仿宋_GB2312" w:eastAsia="仿宋_GB2312"/>
          <w:sz w:val="28"/>
          <w:szCs w:val="28"/>
        </w:rPr>
      </w:pPr>
      <w:r>
        <w:rPr>
          <w:rFonts w:hint="eastAsia" w:ascii="仿宋_GB2312" w:eastAsia="仿宋_GB2312"/>
          <w:sz w:val="28"/>
          <w:szCs w:val="28"/>
        </w:rPr>
        <w:t>学校研究生招生信息网址：https://yjsb.tiangong.edu.cn/2714/list.htm</w:t>
      </w:r>
    </w:p>
    <w:p w14:paraId="38C29491">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学院网址：https://art.tiangong.edu.cn/</w:t>
      </w:r>
    </w:p>
    <w:p w14:paraId="1BCA5406">
      <w:pPr>
        <w:spacing w:before="312" w:beforeLines="100" w:after="156" w:afterLines="50" w:line="560" w:lineRule="exact"/>
        <w:ind w:firstLine="562" w:firstLineChars="200"/>
        <w:rPr>
          <w:rFonts w:ascii="黑体" w:hAnsi="黑体" w:eastAsia="黑体" w:cs="Times New Roman"/>
          <w:b/>
          <w:bCs/>
          <w:color w:val="000000" w:themeColor="text1"/>
          <w:sz w:val="28"/>
          <w:szCs w:val="28"/>
          <w14:textFill>
            <w14:solidFill>
              <w14:schemeClr w14:val="tx1"/>
            </w14:solidFill>
          </w14:textFill>
        </w:rPr>
      </w:pPr>
      <w:r>
        <w:rPr>
          <w:rFonts w:hint="eastAsia" w:ascii="黑体" w:hAnsi="黑体" w:eastAsia="黑体" w:cs="Times New Roman"/>
          <w:b/>
          <w:bCs/>
          <w:color w:val="000000" w:themeColor="text1"/>
          <w:sz w:val="28"/>
          <w:szCs w:val="28"/>
          <w14:textFill>
            <w14:solidFill>
              <w14:schemeClr w14:val="tx1"/>
            </w14:solidFill>
          </w14:textFill>
        </w:rPr>
        <w:t>十三、附则</w:t>
      </w:r>
    </w:p>
    <w:p w14:paraId="3C061963">
      <w:pPr>
        <w:spacing w:line="560" w:lineRule="exact"/>
        <w:ind w:firstLine="560" w:firstLineChars="200"/>
        <w:rPr>
          <w:rFonts w:ascii="仿宋_GB2312" w:eastAsia="仿宋_GB2312"/>
          <w:sz w:val="28"/>
          <w:szCs w:val="28"/>
        </w:rPr>
      </w:pPr>
      <w:r>
        <w:rPr>
          <w:rFonts w:hint="eastAsia" w:ascii="仿宋_GB2312" w:hAnsi="Times New Roman" w:eastAsia="仿宋_GB2312" w:cs="Times New Roman"/>
          <w:sz w:val="28"/>
          <w:szCs w:val="28"/>
        </w:rPr>
        <w:t>其他未尽事宜按照《天津工业大学2026年硕士研究生招生复试录取工作办法》相关要求执行。</w:t>
      </w:r>
    </w:p>
    <w:p w14:paraId="5108AF13">
      <w:pPr>
        <w:spacing w:line="560" w:lineRule="exact"/>
        <w:rPr>
          <w:rFonts w:ascii="仿宋_GB2312" w:eastAsia="仿宋_GB2312"/>
          <w:sz w:val="28"/>
          <w:szCs w:val="28"/>
        </w:rPr>
      </w:pPr>
    </w:p>
    <w:p w14:paraId="55314A03">
      <w:pPr>
        <w:spacing w:line="560" w:lineRule="exact"/>
        <w:rPr>
          <w:rFonts w:ascii="仿宋_GB2312" w:eastAsia="仿宋_GB2312"/>
          <w:sz w:val="28"/>
          <w:szCs w:val="28"/>
        </w:rPr>
      </w:pPr>
    </w:p>
    <w:p w14:paraId="5EF13452">
      <w:pPr>
        <w:spacing w:line="560" w:lineRule="exact"/>
        <w:jc w:val="righ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天津工业大学艺术学院</w:t>
      </w:r>
    </w:p>
    <w:p w14:paraId="667128D2">
      <w:pPr>
        <w:spacing w:line="560" w:lineRule="exact"/>
        <w:jc w:val="right"/>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2026年3月24日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New Roman Regular">
    <w:altName w:val="Times New Roman"/>
    <w:panose1 w:val="00000000000000000000"/>
    <w:charset w:val="00"/>
    <w:family w:val="auto"/>
    <w:pitch w:val="default"/>
    <w:sig w:usb0="00000000" w:usb1="00000000" w:usb2="00000001" w:usb3="00000000" w:csb0="400001BF" w:csb1="DFF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9442128"/>
    </w:sdtPr>
    <w:sdtEndPr>
      <w:rPr>
        <w:rFonts w:ascii="Times New Roman" w:hAnsi="Times New Roman" w:cs="Times New Roman"/>
      </w:rPr>
    </w:sdtEndPr>
    <w:sdtContent>
      <w:p w14:paraId="7E91885D">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2A"/>
    <w:rsid w:val="00001A8E"/>
    <w:rsid w:val="00002445"/>
    <w:rsid w:val="0000593F"/>
    <w:rsid w:val="00016DD9"/>
    <w:rsid w:val="00017007"/>
    <w:rsid w:val="00021945"/>
    <w:rsid w:val="00027CEF"/>
    <w:rsid w:val="00033628"/>
    <w:rsid w:val="000424D8"/>
    <w:rsid w:val="0005300D"/>
    <w:rsid w:val="00056EE3"/>
    <w:rsid w:val="00057510"/>
    <w:rsid w:val="00062382"/>
    <w:rsid w:val="00071FEB"/>
    <w:rsid w:val="000746C7"/>
    <w:rsid w:val="00080B41"/>
    <w:rsid w:val="00080FC2"/>
    <w:rsid w:val="00081192"/>
    <w:rsid w:val="00084AA3"/>
    <w:rsid w:val="00085FE7"/>
    <w:rsid w:val="00093ADA"/>
    <w:rsid w:val="000A4962"/>
    <w:rsid w:val="000B312F"/>
    <w:rsid w:val="000B5844"/>
    <w:rsid w:val="000B59C5"/>
    <w:rsid w:val="000B6144"/>
    <w:rsid w:val="000B78CF"/>
    <w:rsid w:val="000C0E45"/>
    <w:rsid w:val="000C7A3D"/>
    <w:rsid w:val="000D299B"/>
    <w:rsid w:val="000D2F2A"/>
    <w:rsid w:val="000D6016"/>
    <w:rsid w:val="000E4261"/>
    <w:rsid w:val="000E42BE"/>
    <w:rsid w:val="000F0FDE"/>
    <w:rsid w:val="000F3D57"/>
    <w:rsid w:val="000F3F6C"/>
    <w:rsid w:val="000F562C"/>
    <w:rsid w:val="000F5D1F"/>
    <w:rsid w:val="000F67F2"/>
    <w:rsid w:val="00100519"/>
    <w:rsid w:val="00102E1A"/>
    <w:rsid w:val="0010419D"/>
    <w:rsid w:val="00105B04"/>
    <w:rsid w:val="00106979"/>
    <w:rsid w:val="00107790"/>
    <w:rsid w:val="00110825"/>
    <w:rsid w:val="00110FB8"/>
    <w:rsid w:val="00111BE5"/>
    <w:rsid w:val="001135ED"/>
    <w:rsid w:val="001145F8"/>
    <w:rsid w:val="00114841"/>
    <w:rsid w:val="001176A5"/>
    <w:rsid w:val="001204B3"/>
    <w:rsid w:val="00123C9A"/>
    <w:rsid w:val="00124103"/>
    <w:rsid w:val="001248B8"/>
    <w:rsid w:val="00134C40"/>
    <w:rsid w:val="0014228A"/>
    <w:rsid w:val="001473EA"/>
    <w:rsid w:val="0015040F"/>
    <w:rsid w:val="001525EA"/>
    <w:rsid w:val="00154CD1"/>
    <w:rsid w:val="00160732"/>
    <w:rsid w:val="00161586"/>
    <w:rsid w:val="00161B4A"/>
    <w:rsid w:val="00166208"/>
    <w:rsid w:val="00170987"/>
    <w:rsid w:val="00170D7D"/>
    <w:rsid w:val="0017433D"/>
    <w:rsid w:val="00191B6C"/>
    <w:rsid w:val="001A327F"/>
    <w:rsid w:val="001A5192"/>
    <w:rsid w:val="001A5F6D"/>
    <w:rsid w:val="001B0ECD"/>
    <w:rsid w:val="001B0F16"/>
    <w:rsid w:val="001B2C9B"/>
    <w:rsid w:val="001B6314"/>
    <w:rsid w:val="001B6464"/>
    <w:rsid w:val="001B77C2"/>
    <w:rsid w:val="001C2377"/>
    <w:rsid w:val="001C66A7"/>
    <w:rsid w:val="001C6B93"/>
    <w:rsid w:val="001D0623"/>
    <w:rsid w:val="001D3C0D"/>
    <w:rsid w:val="001D540D"/>
    <w:rsid w:val="001D5FDD"/>
    <w:rsid w:val="001D6165"/>
    <w:rsid w:val="001D760D"/>
    <w:rsid w:val="001E0425"/>
    <w:rsid w:val="001E23CE"/>
    <w:rsid w:val="001F0235"/>
    <w:rsid w:val="001F178A"/>
    <w:rsid w:val="001F230C"/>
    <w:rsid w:val="001F31F8"/>
    <w:rsid w:val="001F3372"/>
    <w:rsid w:val="001F7D5D"/>
    <w:rsid w:val="0020026F"/>
    <w:rsid w:val="00201E7A"/>
    <w:rsid w:val="00202717"/>
    <w:rsid w:val="00217FAC"/>
    <w:rsid w:val="002210A3"/>
    <w:rsid w:val="002244C3"/>
    <w:rsid w:val="002263F3"/>
    <w:rsid w:val="00245EBB"/>
    <w:rsid w:val="00246342"/>
    <w:rsid w:val="0024744F"/>
    <w:rsid w:val="002555C5"/>
    <w:rsid w:val="00255841"/>
    <w:rsid w:val="002564DA"/>
    <w:rsid w:val="0026012A"/>
    <w:rsid w:val="002670CC"/>
    <w:rsid w:val="0026766C"/>
    <w:rsid w:val="00267834"/>
    <w:rsid w:val="002678BB"/>
    <w:rsid w:val="0027010E"/>
    <w:rsid w:val="00270239"/>
    <w:rsid w:val="002707C3"/>
    <w:rsid w:val="002721CC"/>
    <w:rsid w:val="00273BDE"/>
    <w:rsid w:val="00276C01"/>
    <w:rsid w:val="00281387"/>
    <w:rsid w:val="00282611"/>
    <w:rsid w:val="00283B21"/>
    <w:rsid w:val="00293604"/>
    <w:rsid w:val="002A1FF6"/>
    <w:rsid w:val="002A24F5"/>
    <w:rsid w:val="002B3BB6"/>
    <w:rsid w:val="002B429A"/>
    <w:rsid w:val="002B5183"/>
    <w:rsid w:val="002C4E94"/>
    <w:rsid w:val="002E0564"/>
    <w:rsid w:val="002E108B"/>
    <w:rsid w:val="002E1A6E"/>
    <w:rsid w:val="002E2747"/>
    <w:rsid w:val="002E6A08"/>
    <w:rsid w:val="002F1198"/>
    <w:rsid w:val="002F37E3"/>
    <w:rsid w:val="002F39E0"/>
    <w:rsid w:val="002F3AEA"/>
    <w:rsid w:val="002F4C09"/>
    <w:rsid w:val="002F5DA3"/>
    <w:rsid w:val="0030017C"/>
    <w:rsid w:val="003029B8"/>
    <w:rsid w:val="0030329E"/>
    <w:rsid w:val="003314AA"/>
    <w:rsid w:val="0033319C"/>
    <w:rsid w:val="003405FB"/>
    <w:rsid w:val="00351DF5"/>
    <w:rsid w:val="0035541B"/>
    <w:rsid w:val="00357FD6"/>
    <w:rsid w:val="00363BB3"/>
    <w:rsid w:val="00365566"/>
    <w:rsid w:val="003727B4"/>
    <w:rsid w:val="00377626"/>
    <w:rsid w:val="00383251"/>
    <w:rsid w:val="00383B1B"/>
    <w:rsid w:val="00384206"/>
    <w:rsid w:val="003A1F68"/>
    <w:rsid w:val="003A2B1E"/>
    <w:rsid w:val="003A5993"/>
    <w:rsid w:val="003A755C"/>
    <w:rsid w:val="003D49C5"/>
    <w:rsid w:val="003D6FF7"/>
    <w:rsid w:val="003E0268"/>
    <w:rsid w:val="003E3B6A"/>
    <w:rsid w:val="003E7A4F"/>
    <w:rsid w:val="003F02E8"/>
    <w:rsid w:val="003F33F1"/>
    <w:rsid w:val="003F3F7E"/>
    <w:rsid w:val="003F566B"/>
    <w:rsid w:val="00405EF5"/>
    <w:rsid w:val="004121E6"/>
    <w:rsid w:val="004123D4"/>
    <w:rsid w:val="00413824"/>
    <w:rsid w:val="0041479C"/>
    <w:rsid w:val="00421214"/>
    <w:rsid w:val="004332CD"/>
    <w:rsid w:val="00441637"/>
    <w:rsid w:val="00442040"/>
    <w:rsid w:val="00444FF2"/>
    <w:rsid w:val="0045515F"/>
    <w:rsid w:val="004648A9"/>
    <w:rsid w:val="00465D10"/>
    <w:rsid w:val="004678F1"/>
    <w:rsid w:val="00471F2A"/>
    <w:rsid w:val="0047249B"/>
    <w:rsid w:val="0047477D"/>
    <w:rsid w:val="00475F17"/>
    <w:rsid w:val="00481AE0"/>
    <w:rsid w:val="0049147A"/>
    <w:rsid w:val="00492D2B"/>
    <w:rsid w:val="0049596D"/>
    <w:rsid w:val="004A47F7"/>
    <w:rsid w:val="004A792A"/>
    <w:rsid w:val="004B0A49"/>
    <w:rsid w:val="004B2591"/>
    <w:rsid w:val="004B331F"/>
    <w:rsid w:val="004C348D"/>
    <w:rsid w:val="004C4AAF"/>
    <w:rsid w:val="004C5697"/>
    <w:rsid w:val="004C6DCA"/>
    <w:rsid w:val="004E4F6D"/>
    <w:rsid w:val="004E5A40"/>
    <w:rsid w:val="004F08E6"/>
    <w:rsid w:val="004F3D45"/>
    <w:rsid w:val="004F588B"/>
    <w:rsid w:val="004F7CC9"/>
    <w:rsid w:val="00504432"/>
    <w:rsid w:val="00505F34"/>
    <w:rsid w:val="005129E4"/>
    <w:rsid w:val="005168AF"/>
    <w:rsid w:val="005210A8"/>
    <w:rsid w:val="00522132"/>
    <w:rsid w:val="00524224"/>
    <w:rsid w:val="0052707A"/>
    <w:rsid w:val="00534D0B"/>
    <w:rsid w:val="00537D76"/>
    <w:rsid w:val="00545C9D"/>
    <w:rsid w:val="005468F6"/>
    <w:rsid w:val="005503BF"/>
    <w:rsid w:val="00554B9B"/>
    <w:rsid w:val="00556FB4"/>
    <w:rsid w:val="005668C8"/>
    <w:rsid w:val="00571428"/>
    <w:rsid w:val="00571AD9"/>
    <w:rsid w:val="00575E93"/>
    <w:rsid w:val="00577112"/>
    <w:rsid w:val="00597AB6"/>
    <w:rsid w:val="005B3488"/>
    <w:rsid w:val="005B47FF"/>
    <w:rsid w:val="005C621C"/>
    <w:rsid w:val="005C77C4"/>
    <w:rsid w:val="005D77C5"/>
    <w:rsid w:val="005D7B43"/>
    <w:rsid w:val="005E3FC5"/>
    <w:rsid w:val="005F7B58"/>
    <w:rsid w:val="00614AFB"/>
    <w:rsid w:val="00617BF1"/>
    <w:rsid w:val="00621034"/>
    <w:rsid w:val="00623822"/>
    <w:rsid w:val="00625569"/>
    <w:rsid w:val="00630CE1"/>
    <w:rsid w:val="00631195"/>
    <w:rsid w:val="00631A1E"/>
    <w:rsid w:val="0063580F"/>
    <w:rsid w:val="00635978"/>
    <w:rsid w:val="0063622F"/>
    <w:rsid w:val="00642959"/>
    <w:rsid w:val="0064558A"/>
    <w:rsid w:val="0064719F"/>
    <w:rsid w:val="006537D1"/>
    <w:rsid w:val="00654053"/>
    <w:rsid w:val="006552E4"/>
    <w:rsid w:val="00660D18"/>
    <w:rsid w:val="00667856"/>
    <w:rsid w:val="00671C2D"/>
    <w:rsid w:val="0067451B"/>
    <w:rsid w:val="00677AC7"/>
    <w:rsid w:val="00686504"/>
    <w:rsid w:val="0069207E"/>
    <w:rsid w:val="00692F7A"/>
    <w:rsid w:val="00695A9E"/>
    <w:rsid w:val="006B5597"/>
    <w:rsid w:val="006B7D8D"/>
    <w:rsid w:val="006C1D5B"/>
    <w:rsid w:val="006C344B"/>
    <w:rsid w:val="006C46BD"/>
    <w:rsid w:val="006D1054"/>
    <w:rsid w:val="006E5421"/>
    <w:rsid w:val="006E5CF1"/>
    <w:rsid w:val="006E6208"/>
    <w:rsid w:val="006E644B"/>
    <w:rsid w:val="006F01D4"/>
    <w:rsid w:val="006F2160"/>
    <w:rsid w:val="006F3038"/>
    <w:rsid w:val="006F6566"/>
    <w:rsid w:val="006F6E22"/>
    <w:rsid w:val="007076F7"/>
    <w:rsid w:val="00710A50"/>
    <w:rsid w:val="00715A41"/>
    <w:rsid w:val="00721794"/>
    <w:rsid w:val="00724A49"/>
    <w:rsid w:val="00736782"/>
    <w:rsid w:val="00736864"/>
    <w:rsid w:val="007474EA"/>
    <w:rsid w:val="00754075"/>
    <w:rsid w:val="007556E7"/>
    <w:rsid w:val="00775571"/>
    <w:rsid w:val="00775E4B"/>
    <w:rsid w:val="00776FD5"/>
    <w:rsid w:val="00780576"/>
    <w:rsid w:val="00781B55"/>
    <w:rsid w:val="007824D8"/>
    <w:rsid w:val="00790DD7"/>
    <w:rsid w:val="00795C2F"/>
    <w:rsid w:val="00796E4E"/>
    <w:rsid w:val="007B0A64"/>
    <w:rsid w:val="007B2554"/>
    <w:rsid w:val="007B38F7"/>
    <w:rsid w:val="007C2E4A"/>
    <w:rsid w:val="007C4B9B"/>
    <w:rsid w:val="007C528B"/>
    <w:rsid w:val="007C7CD3"/>
    <w:rsid w:val="007D04EF"/>
    <w:rsid w:val="007D2911"/>
    <w:rsid w:val="007D5636"/>
    <w:rsid w:val="007D6BF4"/>
    <w:rsid w:val="007E3973"/>
    <w:rsid w:val="007E7127"/>
    <w:rsid w:val="007F280F"/>
    <w:rsid w:val="007F2B23"/>
    <w:rsid w:val="007F3541"/>
    <w:rsid w:val="007F60BF"/>
    <w:rsid w:val="0080057E"/>
    <w:rsid w:val="00800B2B"/>
    <w:rsid w:val="00801E41"/>
    <w:rsid w:val="008061A1"/>
    <w:rsid w:val="00811E36"/>
    <w:rsid w:val="00817E7C"/>
    <w:rsid w:val="008307FD"/>
    <w:rsid w:val="00832825"/>
    <w:rsid w:val="00833DB7"/>
    <w:rsid w:val="00835791"/>
    <w:rsid w:val="00840F7D"/>
    <w:rsid w:val="00850E2E"/>
    <w:rsid w:val="00857BF6"/>
    <w:rsid w:val="00875DDC"/>
    <w:rsid w:val="00875F98"/>
    <w:rsid w:val="00876DA5"/>
    <w:rsid w:val="00877010"/>
    <w:rsid w:val="0088287E"/>
    <w:rsid w:val="00885B97"/>
    <w:rsid w:val="0089012F"/>
    <w:rsid w:val="00896331"/>
    <w:rsid w:val="008A60B0"/>
    <w:rsid w:val="008B28DC"/>
    <w:rsid w:val="008B45BB"/>
    <w:rsid w:val="008C493D"/>
    <w:rsid w:val="008C522E"/>
    <w:rsid w:val="008C649D"/>
    <w:rsid w:val="008D01D0"/>
    <w:rsid w:val="008E1906"/>
    <w:rsid w:val="008E3A22"/>
    <w:rsid w:val="008E3C41"/>
    <w:rsid w:val="008E7144"/>
    <w:rsid w:val="008E7F9F"/>
    <w:rsid w:val="008F7D31"/>
    <w:rsid w:val="00902CB0"/>
    <w:rsid w:val="00907624"/>
    <w:rsid w:val="009142CC"/>
    <w:rsid w:val="009212D6"/>
    <w:rsid w:val="00922F4E"/>
    <w:rsid w:val="00933F80"/>
    <w:rsid w:val="0093473B"/>
    <w:rsid w:val="009354FE"/>
    <w:rsid w:val="00941292"/>
    <w:rsid w:val="00944E3E"/>
    <w:rsid w:val="00944E7E"/>
    <w:rsid w:val="00945904"/>
    <w:rsid w:val="00946719"/>
    <w:rsid w:val="0094714F"/>
    <w:rsid w:val="00947785"/>
    <w:rsid w:val="009539B1"/>
    <w:rsid w:val="0095434B"/>
    <w:rsid w:val="009578AA"/>
    <w:rsid w:val="00961D26"/>
    <w:rsid w:val="00962DE6"/>
    <w:rsid w:val="00963E0F"/>
    <w:rsid w:val="009651B6"/>
    <w:rsid w:val="0097267C"/>
    <w:rsid w:val="009749F3"/>
    <w:rsid w:val="0098169E"/>
    <w:rsid w:val="00986B59"/>
    <w:rsid w:val="00996193"/>
    <w:rsid w:val="009A010D"/>
    <w:rsid w:val="009A34C3"/>
    <w:rsid w:val="009A51A9"/>
    <w:rsid w:val="009C54D3"/>
    <w:rsid w:val="009D723C"/>
    <w:rsid w:val="009E1F2B"/>
    <w:rsid w:val="009F1C42"/>
    <w:rsid w:val="009F6217"/>
    <w:rsid w:val="00A01D3E"/>
    <w:rsid w:val="00A026AF"/>
    <w:rsid w:val="00A05DA3"/>
    <w:rsid w:val="00A0792A"/>
    <w:rsid w:val="00A079B2"/>
    <w:rsid w:val="00A113B5"/>
    <w:rsid w:val="00A1352A"/>
    <w:rsid w:val="00A1506F"/>
    <w:rsid w:val="00A20C5B"/>
    <w:rsid w:val="00A20D61"/>
    <w:rsid w:val="00A24C6E"/>
    <w:rsid w:val="00A276B6"/>
    <w:rsid w:val="00A33D4B"/>
    <w:rsid w:val="00A343FE"/>
    <w:rsid w:val="00A3628E"/>
    <w:rsid w:val="00A412BB"/>
    <w:rsid w:val="00A52794"/>
    <w:rsid w:val="00A52E3B"/>
    <w:rsid w:val="00A53433"/>
    <w:rsid w:val="00A544CE"/>
    <w:rsid w:val="00A56572"/>
    <w:rsid w:val="00A56AC7"/>
    <w:rsid w:val="00A70E45"/>
    <w:rsid w:val="00A717D3"/>
    <w:rsid w:val="00A74569"/>
    <w:rsid w:val="00A756CA"/>
    <w:rsid w:val="00A75E22"/>
    <w:rsid w:val="00A83C7F"/>
    <w:rsid w:val="00A8614F"/>
    <w:rsid w:val="00A87467"/>
    <w:rsid w:val="00A90F54"/>
    <w:rsid w:val="00A9235B"/>
    <w:rsid w:val="00A92468"/>
    <w:rsid w:val="00AA36D9"/>
    <w:rsid w:val="00AA3830"/>
    <w:rsid w:val="00AA50A7"/>
    <w:rsid w:val="00AA775D"/>
    <w:rsid w:val="00AB0B44"/>
    <w:rsid w:val="00AB16CD"/>
    <w:rsid w:val="00AB2ECC"/>
    <w:rsid w:val="00AB43B3"/>
    <w:rsid w:val="00AB55A6"/>
    <w:rsid w:val="00AC6EF7"/>
    <w:rsid w:val="00AD3E7D"/>
    <w:rsid w:val="00AD5EBF"/>
    <w:rsid w:val="00AE2F90"/>
    <w:rsid w:val="00AE4CAB"/>
    <w:rsid w:val="00AF3E1F"/>
    <w:rsid w:val="00AF417A"/>
    <w:rsid w:val="00AF4E63"/>
    <w:rsid w:val="00AF6587"/>
    <w:rsid w:val="00B0037A"/>
    <w:rsid w:val="00B05E70"/>
    <w:rsid w:val="00B06E91"/>
    <w:rsid w:val="00B1028D"/>
    <w:rsid w:val="00B16F9D"/>
    <w:rsid w:val="00B258CE"/>
    <w:rsid w:val="00B311AB"/>
    <w:rsid w:val="00B34A86"/>
    <w:rsid w:val="00B34F32"/>
    <w:rsid w:val="00B41AC7"/>
    <w:rsid w:val="00B425BD"/>
    <w:rsid w:val="00B50FD9"/>
    <w:rsid w:val="00B53AC0"/>
    <w:rsid w:val="00B55059"/>
    <w:rsid w:val="00B675E6"/>
    <w:rsid w:val="00B7237F"/>
    <w:rsid w:val="00B72C5E"/>
    <w:rsid w:val="00B84EFF"/>
    <w:rsid w:val="00B86031"/>
    <w:rsid w:val="00B87C6F"/>
    <w:rsid w:val="00B91E40"/>
    <w:rsid w:val="00B91FF7"/>
    <w:rsid w:val="00B92B46"/>
    <w:rsid w:val="00B92B91"/>
    <w:rsid w:val="00BA546C"/>
    <w:rsid w:val="00BB5779"/>
    <w:rsid w:val="00BB7199"/>
    <w:rsid w:val="00BC3B57"/>
    <w:rsid w:val="00BC3B98"/>
    <w:rsid w:val="00BC7D16"/>
    <w:rsid w:val="00BD1EBF"/>
    <w:rsid w:val="00BD48CF"/>
    <w:rsid w:val="00BE636A"/>
    <w:rsid w:val="00BF42A9"/>
    <w:rsid w:val="00C05929"/>
    <w:rsid w:val="00C153B7"/>
    <w:rsid w:val="00C15F0B"/>
    <w:rsid w:val="00C17064"/>
    <w:rsid w:val="00C17277"/>
    <w:rsid w:val="00C17C8F"/>
    <w:rsid w:val="00C258EA"/>
    <w:rsid w:val="00C32047"/>
    <w:rsid w:val="00C3342F"/>
    <w:rsid w:val="00C370F7"/>
    <w:rsid w:val="00C4515B"/>
    <w:rsid w:val="00C46319"/>
    <w:rsid w:val="00C525DA"/>
    <w:rsid w:val="00C55608"/>
    <w:rsid w:val="00C710DF"/>
    <w:rsid w:val="00C73ECF"/>
    <w:rsid w:val="00C80DE5"/>
    <w:rsid w:val="00C81620"/>
    <w:rsid w:val="00C82DD4"/>
    <w:rsid w:val="00C86969"/>
    <w:rsid w:val="00C91D1F"/>
    <w:rsid w:val="00C9507E"/>
    <w:rsid w:val="00C966C3"/>
    <w:rsid w:val="00CA1343"/>
    <w:rsid w:val="00CA4F59"/>
    <w:rsid w:val="00CA545E"/>
    <w:rsid w:val="00CA59D3"/>
    <w:rsid w:val="00CA75A5"/>
    <w:rsid w:val="00CB2645"/>
    <w:rsid w:val="00CC26DC"/>
    <w:rsid w:val="00CC5A0F"/>
    <w:rsid w:val="00CD03A1"/>
    <w:rsid w:val="00CD0FEC"/>
    <w:rsid w:val="00CD4BEB"/>
    <w:rsid w:val="00CD5249"/>
    <w:rsid w:val="00CE1BFD"/>
    <w:rsid w:val="00CE64C9"/>
    <w:rsid w:val="00CF1E7E"/>
    <w:rsid w:val="00CF45F3"/>
    <w:rsid w:val="00D0267C"/>
    <w:rsid w:val="00D02DB7"/>
    <w:rsid w:val="00D03AB1"/>
    <w:rsid w:val="00D12729"/>
    <w:rsid w:val="00D22B68"/>
    <w:rsid w:val="00D232D8"/>
    <w:rsid w:val="00D239E2"/>
    <w:rsid w:val="00D26A5E"/>
    <w:rsid w:val="00D26C09"/>
    <w:rsid w:val="00D32FAC"/>
    <w:rsid w:val="00D334E6"/>
    <w:rsid w:val="00D36F6A"/>
    <w:rsid w:val="00D40245"/>
    <w:rsid w:val="00D45BA1"/>
    <w:rsid w:val="00D5495A"/>
    <w:rsid w:val="00D55255"/>
    <w:rsid w:val="00D57A9D"/>
    <w:rsid w:val="00D67A0D"/>
    <w:rsid w:val="00D71ED4"/>
    <w:rsid w:val="00D76771"/>
    <w:rsid w:val="00D8127A"/>
    <w:rsid w:val="00D850E1"/>
    <w:rsid w:val="00D87E73"/>
    <w:rsid w:val="00D93A1C"/>
    <w:rsid w:val="00D946D5"/>
    <w:rsid w:val="00DA47B9"/>
    <w:rsid w:val="00DD3D17"/>
    <w:rsid w:val="00DE07D8"/>
    <w:rsid w:val="00DE2645"/>
    <w:rsid w:val="00DE5C9C"/>
    <w:rsid w:val="00DE5E73"/>
    <w:rsid w:val="00DE727F"/>
    <w:rsid w:val="00DF07E0"/>
    <w:rsid w:val="00DF16C3"/>
    <w:rsid w:val="00DF56E6"/>
    <w:rsid w:val="00E13E08"/>
    <w:rsid w:val="00E23AAE"/>
    <w:rsid w:val="00E23AED"/>
    <w:rsid w:val="00E248CC"/>
    <w:rsid w:val="00E263E9"/>
    <w:rsid w:val="00E314D6"/>
    <w:rsid w:val="00E32A77"/>
    <w:rsid w:val="00E403B3"/>
    <w:rsid w:val="00E50411"/>
    <w:rsid w:val="00E63D0B"/>
    <w:rsid w:val="00E70A43"/>
    <w:rsid w:val="00E753ED"/>
    <w:rsid w:val="00E8213B"/>
    <w:rsid w:val="00E8376B"/>
    <w:rsid w:val="00E86AF1"/>
    <w:rsid w:val="00EA21C6"/>
    <w:rsid w:val="00EA26E0"/>
    <w:rsid w:val="00EA5913"/>
    <w:rsid w:val="00EC05C5"/>
    <w:rsid w:val="00EC6294"/>
    <w:rsid w:val="00ED28AA"/>
    <w:rsid w:val="00EE16DE"/>
    <w:rsid w:val="00EE4040"/>
    <w:rsid w:val="00EF07F9"/>
    <w:rsid w:val="00EF26FF"/>
    <w:rsid w:val="00EF3684"/>
    <w:rsid w:val="00F01260"/>
    <w:rsid w:val="00F03C13"/>
    <w:rsid w:val="00F12AB9"/>
    <w:rsid w:val="00F13C9B"/>
    <w:rsid w:val="00F15379"/>
    <w:rsid w:val="00F1683C"/>
    <w:rsid w:val="00F16F99"/>
    <w:rsid w:val="00F24B85"/>
    <w:rsid w:val="00F24EFC"/>
    <w:rsid w:val="00F316B4"/>
    <w:rsid w:val="00F32BB3"/>
    <w:rsid w:val="00F4193B"/>
    <w:rsid w:val="00F430D3"/>
    <w:rsid w:val="00F50D4D"/>
    <w:rsid w:val="00F50E55"/>
    <w:rsid w:val="00F66DB4"/>
    <w:rsid w:val="00F82629"/>
    <w:rsid w:val="00F90F76"/>
    <w:rsid w:val="00F944F8"/>
    <w:rsid w:val="00FB660B"/>
    <w:rsid w:val="00FC42F2"/>
    <w:rsid w:val="00FC59BD"/>
    <w:rsid w:val="00FC6075"/>
    <w:rsid w:val="00FC65DA"/>
    <w:rsid w:val="00FC74BA"/>
    <w:rsid w:val="00FC772E"/>
    <w:rsid w:val="00FD0C7F"/>
    <w:rsid w:val="00FD5D36"/>
    <w:rsid w:val="00FE17ED"/>
    <w:rsid w:val="00FE2DF0"/>
    <w:rsid w:val="00FE2E31"/>
    <w:rsid w:val="00FE3F56"/>
    <w:rsid w:val="00FF09B9"/>
    <w:rsid w:val="00FF09CA"/>
    <w:rsid w:val="04D806FC"/>
    <w:rsid w:val="05256F14"/>
    <w:rsid w:val="0BD7170D"/>
    <w:rsid w:val="0EBE0962"/>
    <w:rsid w:val="0FD41756"/>
    <w:rsid w:val="10CC380A"/>
    <w:rsid w:val="119945B9"/>
    <w:rsid w:val="139B5716"/>
    <w:rsid w:val="14664970"/>
    <w:rsid w:val="16BC368A"/>
    <w:rsid w:val="182C4B8E"/>
    <w:rsid w:val="1BBF6B68"/>
    <w:rsid w:val="1CA60854"/>
    <w:rsid w:val="1DD12460"/>
    <w:rsid w:val="1DD97567"/>
    <w:rsid w:val="1EC7311E"/>
    <w:rsid w:val="219914E7"/>
    <w:rsid w:val="223E5BEA"/>
    <w:rsid w:val="229C0B63"/>
    <w:rsid w:val="268D0C0A"/>
    <w:rsid w:val="27C23E28"/>
    <w:rsid w:val="2AB27175"/>
    <w:rsid w:val="2BF8505C"/>
    <w:rsid w:val="2C376479"/>
    <w:rsid w:val="2DF2272F"/>
    <w:rsid w:val="2E150147"/>
    <w:rsid w:val="2FD80CF9"/>
    <w:rsid w:val="2FFA56F7"/>
    <w:rsid w:val="33641229"/>
    <w:rsid w:val="345F34EB"/>
    <w:rsid w:val="399430B5"/>
    <w:rsid w:val="3B7B1805"/>
    <w:rsid w:val="3CD25455"/>
    <w:rsid w:val="3D8C7CFA"/>
    <w:rsid w:val="3DC80481"/>
    <w:rsid w:val="3F9413C5"/>
    <w:rsid w:val="40324B88"/>
    <w:rsid w:val="41937945"/>
    <w:rsid w:val="42051E29"/>
    <w:rsid w:val="44E53A56"/>
    <w:rsid w:val="452650ED"/>
    <w:rsid w:val="4C5E6D05"/>
    <w:rsid w:val="4D376907"/>
    <w:rsid w:val="50131FAA"/>
    <w:rsid w:val="56576C9F"/>
    <w:rsid w:val="594B0611"/>
    <w:rsid w:val="5AD07020"/>
    <w:rsid w:val="5D731EE5"/>
    <w:rsid w:val="5E2B6E83"/>
    <w:rsid w:val="63057A83"/>
    <w:rsid w:val="635B76A3"/>
    <w:rsid w:val="64897C1D"/>
    <w:rsid w:val="659D21F5"/>
    <w:rsid w:val="66342B59"/>
    <w:rsid w:val="68F25C5E"/>
    <w:rsid w:val="6AA67F53"/>
    <w:rsid w:val="6E453429"/>
    <w:rsid w:val="6F3B6D06"/>
    <w:rsid w:val="701B4CB0"/>
    <w:rsid w:val="71A5490B"/>
    <w:rsid w:val="74EC45FF"/>
    <w:rsid w:val="77731627"/>
    <w:rsid w:val="77BD2F8C"/>
    <w:rsid w:val="78686692"/>
    <w:rsid w:val="78A771BA"/>
    <w:rsid w:val="7B670E83"/>
    <w:rsid w:val="7B8E547E"/>
    <w:rsid w:val="7CD6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7"/>
    <w:unhideWhenUsed/>
    <w:qFormat/>
    <w:uiPriority w:val="0"/>
    <w:rPr>
      <w:rFonts w:ascii="宋体" w:hAnsi="Courier New" w:eastAsia="宋体" w:cs="Times New Roman"/>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Hyperlink"/>
    <w:basedOn w:val="9"/>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3 字符"/>
    <w:basedOn w:val="9"/>
    <w:link w:val="3"/>
    <w:qFormat/>
    <w:uiPriority w:val="9"/>
    <w:rPr>
      <w:rFonts w:ascii="宋体" w:hAnsi="宋体" w:eastAsia="宋体" w:cs="宋体"/>
      <w:b/>
      <w:bCs/>
      <w:kern w:val="0"/>
      <w:sz w:val="27"/>
      <w:szCs w:val="27"/>
    </w:rPr>
  </w:style>
  <w:style w:type="character" w:customStyle="1" w:styleId="15">
    <w:name w:val="标题 1 字符"/>
    <w:basedOn w:val="9"/>
    <w:link w:val="2"/>
    <w:qFormat/>
    <w:uiPriority w:val="9"/>
    <w:rPr>
      <w:b/>
      <w:bCs/>
      <w:kern w:val="44"/>
      <w:sz w:val="44"/>
      <w:szCs w:val="44"/>
    </w:rPr>
  </w:style>
  <w:style w:type="character" w:customStyle="1" w:styleId="16">
    <w:name w:val="纯文本 字符"/>
    <w:basedOn w:val="9"/>
    <w:semiHidden/>
    <w:qFormat/>
    <w:uiPriority w:val="99"/>
    <w:rPr>
      <w:rFonts w:hAnsi="Courier New" w:cs="Courier New" w:asciiTheme="minorEastAsia"/>
    </w:rPr>
  </w:style>
  <w:style w:type="character" w:customStyle="1" w:styleId="17">
    <w:name w:val="纯文本 字符1"/>
    <w:basedOn w:val="9"/>
    <w:link w:val="4"/>
    <w:qFormat/>
    <w:uiPriority w:val="0"/>
    <w:rPr>
      <w:rFonts w:ascii="宋体" w:hAnsi="Courier New" w:eastAsia="宋体" w:cs="Times New Roman"/>
      <w:szCs w:val="21"/>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BF498-F378-4120-8263-3C0BF554B4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5777</Words>
  <Characters>6132</Characters>
  <Lines>145</Lines>
  <Paragraphs>109</Paragraphs>
  <TotalTime>40</TotalTime>
  <ScaleCrop>false</ScaleCrop>
  <LinksUpToDate>false</LinksUpToDate>
  <CharactersWithSpaces>6150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2026-03-24T09:16:00Z</dcterms:created>
  <dc:creator>TJAU</dc:creator>
  <cp:lastModifiedBy>石恩</cp:lastModifiedBy>
  <cp:lastPrinted>2024-03-13T07:44:00Z</cp:lastPrinted>
  <dcterms:modified xsi:type="dcterms:W3CDTF">2026-03-26T07:28:06Z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eyJoZGlkIjoiMTZmOTU4NDNkYWExZTMzYjQxYzdlMGQ4NWRmNTc3OGYiLCJ1c2VySWQiOiI1NTYyMzI2NjIifQ==</vt:lpwstr>
  </property>
  <property fmtid="{D5CDD505-2E9C-101B-9397-08002B2CF9AE}" pid="3" name="KSOProductBuildVer">
    <vt:lpwstr>2052-12.1.0.25225</vt:lpwstr>
  </property>
  <property fmtid="{D5CDD505-2E9C-101B-9397-08002B2CF9AE}" pid="4" name="ICV">
    <vt:lpwstr>71C3E2EA1C4245439C52F742FA31EF36_13</vt:lpwstr>
  </property>
</Properties>
</file>